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149A" w14:textId="77777777" w:rsidR="00B3145A" w:rsidRDefault="00B3145A">
      <w:pPr>
        <w:spacing w:line="360" w:lineRule="auto"/>
        <w:jc w:val="center"/>
        <w:rPr>
          <w:rFonts w:ascii="Arial" w:eastAsia="Arial" w:hAnsi="Arial" w:cs="Arial"/>
          <w:b/>
          <w:color w:val="44546A"/>
        </w:rPr>
      </w:pPr>
      <w:bookmarkStart w:id="0" w:name="_heading=h.gjdgxs" w:colFirst="0" w:colLast="0"/>
      <w:bookmarkEnd w:id="0"/>
    </w:p>
    <w:p w14:paraId="1BE026AB" w14:textId="0FC8DF63" w:rsidR="004C7A54" w:rsidRPr="004C7A54" w:rsidRDefault="004C7A54" w:rsidP="004C7A54">
      <w:pPr>
        <w:widowControl w:val="0"/>
        <w:autoSpaceDE w:val="0"/>
        <w:autoSpaceDN w:val="0"/>
        <w:jc w:val="center"/>
        <w:rPr>
          <w:rFonts w:ascii="Arial" w:eastAsia="Bell MT" w:hAnsi="Arial" w:cs="Arial"/>
          <w:lang w:val="en-US" w:eastAsia="en-CA" w:bidi="en-CA"/>
        </w:rPr>
      </w:pPr>
      <w:bookmarkStart w:id="1" w:name="_heading=h.1smt1ntxl6qq" w:colFirst="0" w:colLast="0"/>
      <w:bookmarkEnd w:id="1"/>
      <w:r w:rsidRPr="004C7A54">
        <w:rPr>
          <w:rFonts w:ascii="Arial" w:eastAsia="Bell MT" w:hAnsi="Arial" w:cs="Arial"/>
          <w:b/>
          <w:bCs/>
          <w:lang w:val="en-US" w:eastAsia="en-CA" w:bidi="en-CA"/>
        </w:rPr>
        <w:t>The British Fur Trade</w:t>
      </w:r>
    </w:p>
    <w:p w14:paraId="013840B2"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6616A695"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The British wanted to make money from the fur trade, too. They created the Hudson’s Bay Company (HBC) in 1670. The HBC received control of Rupert’s Land. This was a vast area in the heart of the continent. Like the French, the HBC and other British fur traders gave goods to Indigenous people in exchange for beaver pelts.</w:t>
      </w:r>
    </w:p>
    <w:p w14:paraId="0E018BA2"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6C567B33"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Britain became the master of the fur trade in North America after it took control of New France in the 1760s. The most important fur trading companies were the Hudson’s Bay Company and the North West Company (NWC). The NWC was founded in 1779. The HBC and the NWC were fierce rivals. Both companies expanded westward. Explorers Alexander Mackenzie, Simon Fraser and David Thompson (all employees of the NWC) began the fur trade in British Columbia. In 1821, the North West Company merged with the stronger Hudson’s Bay Company.</w:t>
      </w:r>
    </w:p>
    <w:p w14:paraId="4CC139F4"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2BD92B2C"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George Simpson, the governor of the HBC’s trading territories from 1826 to 1860, made the company very rich. He founded new trading posts in the West, cut costs and defeated his rivals. By the mid-1800s, however, the HBC began to decline. Europeans were less interested in fur than they had been before. The federal government of Canada bought Rupert’s Land from the HBC in 1870. In the following decades, tens of thousands of settlers began to move to Western Canada.</w:t>
      </w:r>
    </w:p>
    <w:p w14:paraId="4559EF2E"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26399A65"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(excerpt from </w:t>
      </w:r>
      <w:hyperlink r:id="rId7" w:history="1">
        <w:r w:rsidRPr="004C7A54">
          <w:rPr>
            <w:rFonts w:ascii="Arial" w:eastAsia="Bell MT" w:hAnsi="Arial" w:cs="Arial"/>
            <w:iCs/>
            <w:color w:val="0000FF"/>
            <w:u w:val="single"/>
            <w:lang w:val="en-US" w:eastAsia="en-CA" w:bidi="en-CA"/>
          </w:rPr>
          <w:t>Fur Trade in Canada</w:t>
        </w:r>
      </w:hyperlink>
      <w:r w:rsidRPr="004C7A54">
        <w:rPr>
          <w:rFonts w:ascii="Arial" w:eastAsia="Bell MT" w:hAnsi="Arial" w:cs="Arial"/>
          <w:iCs/>
          <w:lang w:val="en-US" w:eastAsia="en-CA" w:bidi="en-CA"/>
        </w:rPr>
        <w:t>, Canadian Encyclopedia)</w:t>
      </w:r>
    </w:p>
    <w:p w14:paraId="0AE4D0A3"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0724BCAF"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27673348"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The Hudson’s Bay Company and the North West Company were rivals. How were they similar? How were they different?</w:t>
      </w:r>
    </w:p>
    <w:p w14:paraId="3D27235A"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21841781" w14:textId="77777777" w:rsidR="004C7A54" w:rsidRPr="004C7A54" w:rsidRDefault="004C7A54" w:rsidP="004C7A54">
      <w:pPr>
        <w:widowControl w:val="0"/>
        <w:autoSpaceDE w:val="0"/>
        <w:autoSpaceDN w:val="0"/>
        <w:rPr>
          <w:rFonts w:ascii="Arial" w:eastAsia="Bell MT" w:hAnsi="Arial" w:cs="Arial"/>
          <w:b/>
          <w:bCs/>
          <w:iCs/>
          <w:lang w:val="en-US" w:eastAsia="en-CA" w:bidi="en-CA"/>
        </w:rPr>
      </w:pPr>
      <w:r w:rsidRPr="004C7A54">
        <w:rPr>
          <w:rFonts w:ascii="Arial" w:eastAsia="Bell MT" w:hAnsi="Arial" w:cs="Arial"/>
          <w:iCs/>
          <w:lang w:val="en-US" w:eastAsia="en-CA" w:bidi="en-CA"/>
        </w:rPr>
        <w:tab/>
      </w:r>
      <w:r w:rsidRPr="004C7A54">
        <w:rPr>
          <w:rFonts w:ascii="Arial" w:eastAsia="Bell MT" w:hAnsi="Arial" w:cs="Arial"/>
          <w:iCs/>
          <w:lang w:val="en-US" w:eastAsia="en-CA" w:bidi="en-CA"/>
        </w:rPr>
        <w:tab/>
      </w:r>
      <w:r w:rsidRPr="004C7A54">
        <w:rPr>
          <w:rFonts w:ascii="Arial" w:eastAsia="Bell MT" w:hAnsi="Arial" w:cs="Arial"/>
          <w:iCs/>
          <w:lang w:val="en-US" w:eastAsia="en-CA" w:bidi="en-CA"/>
        </w:rPr>
        <w:tab/>
      </w:r>
      <w:r w:rsidRPr="004C7A54">
        <w:rPr>
          <w:rFonts w:ascii="Arial" w:eastAsia="Bell MT" w:hAnsi="Arial" w:cs="Arial"/>
          <w:b/>
          <w:bCs/>
          <w:iCs/>
          <w:lang w:val="en-US" w:eastAsia="en-CA" w:bidi="en-CA"/>
        </w:rPr>
        <w:tab/>
        <w:t>HBC</w:t>
      </w:r>
      <w:r w:rsidRPr="004C7A54">
        <w:rPr>
          <w:rFonts w:ascii="Arial" w:eastAsia="Bell MT" w:hAnsi="Arial" w:cs="Arial"/>
          <w:b/>
          <w:bCs/>
          <w:iCs/>
          <w:lang w:val="en-US" w:eastAsia="en-CA" w:bidi="en-CA"/>
        </w:rPr>
        <w:tab/>
      </w:r>
      <w:r w:rsidRPr="004C7A54">
        <w:rPr>
          <w:rFonts w:ascii="Arial" w:eastAsia="Bell MT" w:hAnsi="Arial" w:cs="Arial"/>
          <w:b/>
          <w:bCs/>
          <w:iCs/>
          <w:lang w:val="en-US" w:eastAsia="en-CA" w:bidi="en-CA"/>
        </w:rPr>
        <w:tab/>
      </w:r>
      <w:r w:rsidRPr="004C7A54">
        <w:rPr>
          <w:rFonts w:ascii="Arial" w:eastAsia="Bell MT" w:hAnsi="Arial" w:cs="Arial"/>
          <w:b/>
          <w:bCs/>
          <w:iCs/>
          <w:lang w:val="en-US" w:eastAsia="en-CA" w:bidi="en-CA"/>
        </w:rPr>
        <w:tab/>
      </w:r>
      <w:r w:rsidRPr="004C7A54">
        <w:rPr>
          <w:rFonts w:ascii="Arial" w:eastAsia="Bell MT" w:hAnsi="Arial" w:cs="Arial"/>
          <w:b/>
          <w:bCs/>
          <w:iCs/>
          <w:lang w:val="en-US" w:eastAsia="en-CA" w:bidi="en-CA"/>
        </w:rPr>
        <w:tab/>
        <w:t>NWC</w:t>
      </w:r>
    </w:p>
    <w:p w14:paraId="6386613D"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noProof/>
          <w:lang w:val="en-US" w:eastAsia="en-CA" w:bidi="en-CA"/>
        </w:rPr>
        <mc:AlternateContent>
          <mc:Choice Requires="wps">
            <w:drawing>
              <wp:anchor distT="0" distB="0" distL="114300" distR="114300" simplePos="0" relativeHeight="251659264" behindDoc="0" locked="0" layoutInCell="1" allowOverlap="1" wp14:anchorId="67FD703B" wp14:editId="00C78684">
                <wp:simplePos x="0" y="0"/>
                <wp:positionH relativeFrom="column">
                  <wp:posOffset>480052</wp:posOffset>
                </wp:positionH>
                <wp:positionV relativeFrom="paragraph">
                  <wp:posOffset>96882</wp:posOffset>
                </wp:positionV>
                <wp:extent cx="3096179" cy="3257149"/>
                <wp:effectExtent l="12700" t="12700" r="15875" b="6985"/>
                <wp:wrapNone/>
                <wp:docPr id="3" name="Oval 3"/>
                <wp:cNvGraphicFramePr/>
                <a:graphic xmlns:a="http://schemas.openxmlformats.org/drawingml/2006/main">
                  <a:graphicData uri="http://schemas.microsoft.com/office/word/2010/wordprocessingShape">
                    <wps:wsp>
                      <wps:cNvSpPr/>
                      <wps:spPr>
                        <a:xfrm>
                          <a:off x="0" y="0"/>
                          <a:ext cx="3096179" cy="3257149"/>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A38DD" id="Oval 3" o:spid="_x0000_s1026" style="position:absolute;margin-left:37.8pt;margin-top:7.65pt;width:243.8pt;height:25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" filled="f" strokecolor="#385d8a" strokeweight="2pt"/>
            </w:pict>
          </mc:Fallback>
        </mc:AlternateContent>
      </w:r>
      <w:r w:rsidRPr="004C7A54">
        <w:rPr>
          <w:rFonts w:ascii="Arial" w:eastAsia="Bell MT" w:hAnsi="Arial" w:cs="Arial"/>
          <w:iCs/>
          <w:noProof/>
          <w:lang w:val="en-US" w:eastAsia="en-CA" w:bidi="en-CA"/>
        </w:rPr>
        <mc:AlternateContent>
          <mc:Choice Requires="wps">
            <w:drawing>
              <wp:anchor distT="0" distB="0" distL="114300" distR="114300" simplePos="0" relativeHeight="251660288" behindDoc="0" locked="0" layoutInCell="1" allowOverlap="1" wp14:anchorId="01802BD5" wp14:editId="2D1E2E7F">
                <wp:simplePos x="0" y="0"/>
                <wp:positionH relativeFrom="column">
                  <wp:posOffset>2135136</wp:posOffset>
                </wp:positionH>
                <wp:positionV relativeFrom="paragraph">
                  <wp:posOffset>129540</wp:posOffset>
                </wp:positionV>
                <wp:extent cx="3096179" cy="3257149"/>
                <wp:effectExtent l="12700" t="12700" r="15875" b="6985"/>
                <wp:wrapNone/>
                <wp:docPr id="12" name="Oval 12"/>
                <wp:cNvGraphicFramePr/>
                <a:graphic xmlns:a="http://schemas.openxmlformats.org/drawingml/2006/main">
                  <a:graphicData uri="http://schemas.microsoft.com/office/word/2010/wordprocessingShape">
                    <wps:wsp>
                      <wps:cNvSpPr/>
                      <wps:spPr>
                        <a:xfrm>
                          <a:off x="0" y="0"/>
                          <a:ext cx="3096179" cy="3257149"/>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01A0D" id="Oval 12" o:spid="_x0000_s1026" style="position:absolute;margin-left:168.1pt;margin-top:10.2pt;width:243.8pt;height:2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" filled="f" strokecolor="#385d8a" strokeweight="2pt"/>
            </w:pict>
          </mc:Fallback>
        </mc:AlternateContent>
      </w:r>
    </w:p>
    <w:p w14:paraId="354D55E6" w14:textId="77777777" w:rsidR="004C7A54" w:rsidRPr="004C7A54" w:rsidRDefault="004C7A54" w:rsidP="004C7A54">
      <w:pPr>
        <w:widowControl w:val="0"/>
        <w:tabs>
          <w:tab w:val="left" w:pos="5259"/>
        </w:tabs>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ab/>
      </w:r>
    </w:p>
    <w:p w14:paraId="72E5323E" w14:textId="77777777" w:rsidR="004C7A54" w:rsidRPr="004C7A54" w:rsidRDefault="004C7A54" w:rsidP="004C7A54">
      <w:pPr>
        <w:widowControl w:val="0"/>
        <w:autoSpaceDE w:val="0"/>
        <w:autoSpaceDN w:val="0"/>
        <w:rPr>
          <w:rFonts w:ascii="Bell MT" w:eastAsia="Bell MT" w:hAnsi="Bell MT" w:cs="Bell MT"/>
          <w:sz w:val="22"/>
          <w:szCs w:val="22"/>
          <w:lang w:val="en-US" w:eastAsia="en-CA" w:bidi="en-CA"/>
        </w:rPr>
      </w:pPr>
    </w:p>
    <w:p w14:paraId="5DC55E9F" w14:textId="77777777" w:rsidR="004C7A54" w:rsidRPr="004C7A54" w:rsidRDefault="004C7A54" w:rsidP="004C7A54">
      <w:pPr>
        <w:rPr>
          <w:rFonts w:ascii="Times New Roman" w:eastAsiaTheme="minorHAnsi" w:hAnsi="Times New Roman" w:cs="Times New Roman"/>
          <w:color w:val="000000"/>
          <w:sz w:val="20"/>
          <w:szCs w:val="20"/>
          <w:lang w:val="en-US"/>
        </w:rPr>
      </w:pPr>
      <w:r w:rsidRPr="004C7A54">
        <w:rPr>
          <w:rFonts w:ascii="Times New Roman" w:eastAsiaTheme="minorHAnsi" w:hAnsi="Times New Roman" w:cs="Times New Roman"/>
          <w:color w:val="000000"/>
          <w:sz w:val="20"/>
          <w:szCs w:val="20"/>
          <w:lang w:val="en-US"/>
        </w:rPr>
        <w:t xml:space="preserve">                                  </w:t>
      </w:r>
    </w:p>
    <w:p w14:paraId="36333096" w14:textId="3740328B" w:rsidR="00B3145A" w:rsidRDefault="00B3145A">
      <w:pPr>
        <w:spacing w:after="240" w:line="360" w:lineRule="auto"/>
        <w:jc w:val="center"/>
        <w:rPr>
          <w:rFonts w:ascii="Arial" w:eastAsia="Arial" w:hAnsi="Arial" w:cs="Arial"/>
          <w:b/>
          <w:color w:val="44546A"/>
        </w:rPr>
      </w:pPr>
    </w:p>
    <w:p w14:paraId="64DBBFC2" w14:textId="77777777" w:rsidR="00B3145A" w:rsidRDefault="00B3145A">
      <w:pPr>
        <w:spacing w:line="360" w:lineRule="auto"/>
        <w:jc w:val="center"/>
        <w:rPr>
          <w:rFonts w:ascii="Arial" w:eastAsia="Arial" w:hAnsi="Arial" w:cs="Arial"/>
          <w:b/>
          <w:color w:val="44546A"/>
        </w:rPr>
      </w:pPr>
      <w:bookmarkStart w:id="2" w:name="_heading=h.444z3fewn8wr" w:colFirst="0" w:colLast="0"/>
      <w:bookmarkEnd w:id="2"/>
    </w:p>
    <w:p w14:paraId="5D586A70" w14:textId="77777777" w:rsidR="00B3145A" w:rsidRDefault="00B3145A">
      <w:pPr>
        <w:spacing w:line="360" w:lineRule="auto"/>
        <w:rPr>
          <w:rFonts w:ascii="Arial" w:eastAsia="Arial" w:hAnsi="Arial" w:cs="Arial"/>
          <w:b/>
        </w:rPr>
      </w:pPr>
    </w:p>
    <w:p w14:paraId="23F83949" w14:textId="77777777" w:rsidR="00B3145A" w:rsidRDefault="00B3145A">
      <w:pPr>
        <w:jc w:val="center"/>
      </w:pPr>
    </w:p>
    <w:p w14:paraId="04BA5CE5" w14:textId="77777777" w:rsidR="00B3145A" w:rsidRDefault="00B3145A">
      <w:pPr>
        <w:jc w:val="center"/>
      </w:pPr>
    </w:p>
    <w:p w14:paraId="7C8A7995" w14:textId="77777777" w:rsidR="00B3145A" w:rsidRDefault="00B3145A">
      <w:pPr>
        <w:jc w:val="center"/>
      </w:pPr>
    </w:p>
    <w:p w14:paraId="67673267" w14:textId="77777777" w:rsidR="00B3145A" w:rsidRDefault="00B3145A">
      <w:pPr>
        <w:jc w:val="center"/>
      </w:pPr>
    </w:p>
    <w:p w14:paraId="7D057B32" w14:textId="77777777" w:rsidR="00B3145A" w:rsidRDefault="00B3145A">
      <w:pPr>
        <w:jc w:val="center"/>
      </w:pPr>
    </w:p>
    <w:p w14:paraId="56542EF0" w14:textId="77777777" w:rsidR="00B3145A" w:rsidRDefault="00B3145A">
      <w:pPr>
        <w:jc w:val="center"/>
      </w:pPr>
    </w:p>
    <w:p w14:paraId="2C7BC2CB" w14:textId="77777777" w:rsidR="00B3145A" w:rsidRDefault="00B3145A" w:rsidP="00202859"/>
    <w:sectPr w:rsidR="00B3145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0C36" w14:textId="77777777" w:rsidR="00565EFB" w:rsidRDefault="00565EFB">
      <w:r>
        <w:separator/>
      </w:r>
    </w:p>
  </w:endnote>
  <w:endnote w:type="continuationSeparator" w:id="0">
    <w:p w14:paraId="34B0C317" w14:textId="77777777" w:rsidR="00565EFB" w:rsidRDefault="0056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1000" w14:textId="77777777" w:rsidR="00B3145A" w:rsidRDefault="00514C0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565EFB">
      <w:rPr>
        <w:color w:val="000000"/>
      </w:rPr>
      <w:fldChar w:fldCharType="separate"/>
    </w:r>
    <w:r>
      <w:rPr>
        <w:color w:val="000000"/>
      </w:rPr>
      <w:fldChar w:fldCharType="end"/>
    </w:r>
  </w:p>
  <w:p w14:paraId="7EBDB0CE" w14:textId="77777777" w:rsidR="00B3145A" w:rsidRDefault="00B3145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1996" w14:textId="77777777" w:rsidR="00B3145A" w:rsidRDefault="00514C0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C7A54">
      <w:rPr>
        <w:noProof/>
        <w:color w:val="000000"/>
      </w:rPr>
      <w:t>1</w:t>
    </w:r>
    <w:r>
      <w:rPr>
        <w:color w:val="000000"/>
      </w:rPr>
      <w:fldChar w:fldCharType="end"/>
    </w:r>
  </w:p>
  <w:p w14:paraId="3F828787" w14:textId="77777777" w:rsidR="00B3145A" w:rsidRDefault="00B3145A">
    <w:pPr>
      <w:pBdr>
        <w:top w:val="nil"/>
        <w:left w:val="nil"/>
        <w:bottom w:val="nil"/>
        <w:right w:val="nil"/>
        <w:between w:val="nil"/>
      </w:pBdr>
      <w:tabs>
        <w:tab w:val="center" w:pos="4680"/>
        <w:tab w:val="right" w:pos="9360"/>
      </w:tabs>
      <w:rPr>
        <w:color w:val="000000"/>
      </w:rPr>
    </w:pPr>
  </w:p>
  <w:p w14:paraId="0D961F70" w14:textId="77777777" w:rsidR="00B3145A" w:rsidRDefault="00514C01">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1BD0" w14:textId="77777777" w:rsidR="00B3145A" w:rsidRDefault="00B3145A">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1301CD83" w14:textId="77777777" w:rsidR="00B3145A" w:rsidRDefault="00514C01">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8D96" w14:textId="77777777" w:rsidR="00565EFB" w:rsidRDefault="00565EFB">
      <w:r>
        <w:separator/>
      </w:r>
    </w:p>
  </w:footnote>
  <w:footnote w:type="continuationSeparator" w:id="0">
    <w:p w14:paraId="66B9CCE9" w14:textId="77777777" w:rsidR="00565EFB" w:rsidRDefault="0056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ECE" w14:textId="77777777" w:rsidR="00B3145A" w:rsidRDefault="00B314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29D3" w14:textId="109D2E98" w:rsidR="00B3145A" w:rsidRDefault="00514C01">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4C7A54">
      <w:rPr>
        <w:b/>
        <w:color w:val="636A69"/>
      </w:rPr>
      <w:t>–</w:t>
    </w:r>
    <w:r>
      <w:rPr>
        <w:b/>
        <w:color w:val="636A69"/>
      </w:rPr>
      <w:t xml:space="preserve"> </w:t>
    </w:r>
    <w:r w:rsidR="004C7A54">
      <w:rPr>
        <w:b/>
        <w:color w:val="636A69"/>
      </w:rPr>
      <w:t>Social Stu</w:t>
    </w:r>
    <w:r w:rsidR="00F01238">
      <w:rPr>
        <w:b/>
        <w:color w:val="636A69"/>
      </w:rPr>
      <w:t>dies 4</w:t>
    </w:r>
    <w:r>
      <w:rPr>
        <w:noProof/>
      </w:rPr>
      <w:drawing>
        <wp:anchor distT="0" distB="0" distL="114300" distR="114300" simplePos="0" relativeHeight="251658240" behindDoc="0" locked="0" layoutInCell="1" hidden="0" allowOverlap="1" wp14:anchorId="589F06F5" wp14:editId="67DAC1D7">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13154631" w14:textId="575E7167" w:rsidR="00B3145A" w:rsidRDefault="00514C01">
    <w:pPr>
      <w:rPr>
        <w:rFonts w:ascii="Times New Roman" w:eastAsia="Times New Roman" w:hAnsi="Times New Roman" w:cs="Times New Roman"/>
      </w:rPr>
    </w:pPr>
    <w:r>
      <w:rPr>
        <w:b/>
        <w:color w:val="636A69"/>
      </w:rPr>
      <w:t xml:space="preserve">Topic </w:t>
    </w:r>
    <w:r w:rsidR="00F01238">
      <w:rPr>
        <w:b/>
        <w:color w:val="636A69"/>
      </w:rPr>
      <w:t>–</w:t>
    </w:r>
    <w:r>
      <w:rPr>
        <w:b/>
        <w:color w:val="636A69"/>
      </w:rPr>
      <w:t xml:space="preserve"> </w:t>
    </w:r>
    <w:r w:rsidR="00F01238">
      <w:rPr>
        <w:b/>
        <w:color w:val="636A69"/>
      </w:rPr>
      <w:t>Fur Trade</w:t>
    </w:r>
  </w:p>
  <w:p w14:paraId="323284AB" w14:textId="77777777" w:rsidR="00B3145A" w:rsidRDefault="00B3145A">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F3F9" w14:textId="77777777" w:rsidR="00B3145A" w:rsidRDefault="00514C01">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4E4B30F8" wp14:editId="35A2681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2E8089CD" w14:textId="77777777" w:rsidR="00B3145A" w:rsidRDefault="00514C01">
    <w:pPr>
      <w:rPr>
        <w:rFonts w:ascii="Times New Roman" w:eastAsia="Times New Roman" w:hAnsi="Times New Roman" w:cs="Times New Roman"/>
      </w:rPr>
    </w:pPr>
    <w:r>
      <w:rPr>
        <w:b/>
        <w:color w:val="636A69"/>
      </w:rPr>
      <w:t>Topic - Material Descriptor</w:t>
    </w:r>
  </w:p>
  <w:p w14:paraId="14333825" w14:textId="77777777" w:rsidR="00B3145A" w:rsidRDefault="00514C01">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0BFD9F8A" w14:textId="77777777" w:rsidR="00B3145A" w:rsidRDefault="00B3145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5A"/>
    <w:rsid w:val="00202859"/>
    <w:rsid w:val="00454E00"/>
    <w:rsid w:val="004C7A54"/>
    <w:rsid w:val="00514C01"/>
    <w:rsid w:val="00565EFB"/>
    <w:rsid w:val="009752BF"/>
    <w:rsid w:val="009E0F7D"/>
    <w:rsid w:val="009F4AE5"/>
    <w:rsid w:val="00B3145A"/>
    <w:rsid w:val="00C440A7"/>
    <w:rsid w:val="00F0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ABCC"/>
  <w15:docId w15:val="{1CB5CF21-7368-476F-8034-64713B1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C7A5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hecanadianencyclopedia.ca/en/article/fur-trade-in-canada-plain-language-summar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dcterms:created xsi:type="dcterms:W3CDTF">2021-05-24T05:58:00Z</dcterms:created>
  <dcterms:modified xsi:type="dcterms:W3CDTF">2021-05-24T06:01:00Z</dcterms:modified>
</cp:coreProperties>
</file>