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Common Law vs. Civil Law 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Common Law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Civil Law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References: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Common and Civil Law Are Two Very Different Legal Systems." 2013. LawTeacher.net. All Answers Ltd. 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https://www.lawteacher.net/free-law-essays/common-law/common-and-civil-law-are-two-very-different-legal-systems-common-law-essay.php?vref=1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Syam, P. 2014. “What Is the Difference Between Common Law and Civil Law?”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School of Law.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St. Louis, MO: Washington University.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https://onlinelaw.wustl.edu/blog/common-law-vs-civil-law/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720" w:top="720" w:left="720" w:right="720" w:header="73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  <w:font w:name="Berthold Akzidenz Grote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Berthold Akzidenz Grotesk" w:cs="Berthold Akzidenz Grotesk" w:eastAsia="Berthold Akzidenz Grotesk" w:hAnsi="Berthold Akzidenz Grotesk"/>
        <w:color w:val="646a6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right" w:leader="none" w:pos="10773"/>
      </w:tabs>
      <w:rPr>
        <w:rFonts w:ascii="Berthold Akzidenz Grotesk" w:cs="Berthold Akzidenz Grotesk" w:eastAsia="Berthold Akzidenz Grotesk" w:hAnsi="Berthold Akzidenz Grotesk"/>
        <w:color w:val="646a69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70ad47"/>
        <w:sz w:val="20"/>
        <w:szCs w:val="20"/>
        <w:rtl w:val="0"/>
      </w:rPr>
      <w:t xml:space="preserve">JusticeEducation.ca                  </w:t>
    </w:r>
    <w:r w:rsidDel="00000000" w:rsidR="00000000" w:rsidRPr="00000000">
      <w:rPr>
        <w:rFonts w:ascii="Verdana" w:cs="Verdana" w:eastAsia="Verdana" w:hAnsi="Verdana"/>
        <w:color w:val="70ad47"/>
        <w:sz w:val="20"/>
        <w:szCs w:val="20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      </w:t>
      <w:tab/>
      <w:tab/>
      <w:t xml:space="preserve">        </w:t>
    </w:r>
    <w:r w:rsidDel="00000000" w:rsidR="00000000" w:rsidRPr="00000000">
      <w:rPr>
        <w:rFonts w:ascii="Verdana" w:cs="Verdana" w:eastAsia="Verdana" w:hAnsi="Verdana"/>
        <w:b w:val="1"/>
        <w:color w:val="70ad47"/>
        <w:sz w:val="20"/>
        <w:szCs w:val="20"/>
        <w:rtl w:val="0"/>
      </w:rPr>
      <w:t xml:space="preserve">LawLessons.ca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tabs>
        <w:tab w:val="center" w:leader="none" w:pos="4680"/>
        <w:tab w:val="right" w:leader="none" w:pos="9360"/>
      </w:tabs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10800"/>
        <w:tab w:val="right" w:leader="none" w:pos="10770"/>
      </w:tabs>
      <w:rPr>
        <w:rFonts w:ascii="Berthold Akzidenz Grotesk" w:cs="Berthold Akzidenz Grotesk" w:eastAsia="Berthold Akzidenz Grotesk" w:hAnsi="Berthold Akzidenz Grotesk"/>
        <w:color w:val="646a69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70ad47"/>
        <w:sz w:val="20"/>
        <w:szCs w:val="20"/>
        <w:rtl w:val="0"/>
      </w:rPr>
      <w:t xml:space="preserve">JusticeEducation.ca                  </w:t>
    </w:r>
    <w:r w:rsidDel="00000000" w:rsidR="00000000" w:rsidRPr="00000000">
      <w:rPr>
        <w:rFonts w:ascii="Verdana" w:cs="Verdana" w:eastAsia="Verdana" w:hAnsi="Verdana"/>
        <w:color w:val="70ad47"/>
        <w:sz w:val="20"/>
        <w:szCs w:val="20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                </w:t>
      <w:tab/>
      <w:tab/>
      <w:t xml:space="preserve">           </w:t>
    </w: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    </w:t>
    </w: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                   </w:t>
    </w:r>
    <w:r w:rsidDel="00000000" w:rsidR="00000000" w:rsidRPr="00000000">
      <w:rPr>
        <w:rFonts w:ascii="Verdana" w:cs="Verdana" w:eastAsia="Verdana" w:hAnsi="Verdana"/>
        <w:b w:val="1"/>
        <w:color w:val="70ad47"/>
        <w:sz w:val="20"/>
        <w:szCs w:val="20"/>
        <w:rtl w:val="0"/>
      </w:rPr>
      <w:t xml:space="preserve">LawLessons.ca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b w:val="1"/>
        <w:color w:val="636a69"/>
        <w:rtl w:val="0"/>
      </w:rPr>
      <w:t xml:space="preserve">Subject – Law Studies 12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5514340</wp:posOffset>
          </wp:positionH>
          <wp:positionV relativeFrom="paragraph">
            <wp:posOffset>-176527</wp:posOffset>
          </wp:positionV>
          <wp:extent cx="1341755" cy="787400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19" r="-19" t="0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rPr>
        <w:rFonts w:ascii="Times New Roman" w:cs="Times New Roman" w:eastAsia="Times New Roman" w:hAnsi="Times New Roman"/>
      </w:rPr>
    </w:pPr>
    <w:r w:rsidDel="00000000" w:rsidR="00000000" w:rsidRPr="00000000">
      <w:rPr>
        <w:b w:val="1"/>
        <w:color w:val="636a69"/>
        <w:rtl w:val="0"/>
      </w:rPr>
      <w:t xml:space="preserve">Topic – Evolution of Law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b w:val="1"/>
        <w:color w:val="636a69"/>
        <w:rtl w:val="0"/>
      </w:rPr>
      <w:t xml:space="preserve">Subject - Grade Level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5514340</wp:posOffset>
          </wp:positionH>
          <wp:positionV relativeFrom="paragraph">
            <wp:posOffset>-176527</wp:posOffset>
          </wp:positionV>
          <wp:extent cx="1341755" cy="78740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19" r="-19" t="0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rPr>
        <w:rFonts w:ascii="Times New Roman" w:cs="Times New Roman" w:eastAsia="Times New Roman" w:hAnsi="Times New Roman"/>
      </w:rPr>
    </w:pPr>
    <w:r w:rsidDel="00000000" w:rsidR="00000000" w:rsidRPr="00000000">
      <w:rPr>
        <w:b w:val="1"/>
        <w:color w:val="636a69"/>
        <w:rtl w:val="0"/>
      </w:rPr>
      <w:t xml:space="preserve">Topic - Material Descriptor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853"/>
        <w:tab w:val="center" w:leader="none" w:pos="9923"/>
        <w:tab w:val="right" w:leader="none" w:pos="10800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0707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 w:val="1"/>
    <w:rsid w:val="000707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70715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70715"/>
    <w:rPr>
      <w:rFonts w:ascii="Times New Roman" w:cs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40203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Body" w:customStyle="1">
    <w:name w:val="Body"/>
    <w:basedOn w:val="Normal"/>
    <w:uiPriority w:val="99"/>
    <w:rsid w:val="00362349"/>
    <w:pPr>
      <w:suppressAutoHyphens w:val="1"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cs="AkzidenzGroteskBE-Light" w:hAnsi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 w:val="1"/>
    <w:rsid w:val="0096602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66023"/>
    <w:rPr>
      <w:color w:val="605e5c"/>
      <w:shd w:color="auto" w:fill="e1dfdd" w:val="clear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F07A25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sion">
    <w:name w:val="Revision"/>
    <w:hidden w:val="1"/>
    <w:uiPriority w:val="99"/>
    <w:semiHidden w:val="1"/>
    <w:rsid w:val="000369C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awteacher.net/free-law-essays/common-law/common-and-civil-law-are-two-very-different-legal-systems-common-law-essay.php?vref=1" TargetMode="External"/><Relationship Id="rId8" Type="http://schemas.openxmlformats.org/officeDocument/2006/relationships/hyperlink" Target="https://onlinelaw.wustl.edu/blog/common-law-vs-civil-law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ofeaTixa8DNgzJzyYR9yqCZ8g==">CgMxLjAyCGguZ2pkZ3hzOABqRgo1c3VnZ2VzdElkSW1wb3J0OWQyZjBmNzgtOGEyYS00MDcyLWFiYTItNTUwMjUyOWQ0OGQ5XzESDWFuYSByb3NhIGJsdWVyGWlkOjRQVzFmQW4zTkpBQUFBQUFBQUFQcFE=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2023-03-16T04:30:00Z</dcterms:created>
  <dc:creator>Camilla Coates</dc:creator>
</cp:coreProperties>
</file>