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081C4" w14:textId="77777777" w:rsidR="003F1857" w:rsidRDefault="003F1857">
      <w:pPr>
        <w:spacing w:line="360" w:lineRule="auto"/>
        <w:jc w:val="center"/>
        <w:rPr>
          <w:rFonts w:ascii="Arial" w:eastAsia="Arial" w:hAnsi="Arial" w:cs="Arial"/>
          <w:b/>
          <w:color w:val="44546A"/>
        </w:rPr>
      </w:pPr>
      <w:bookmarkStart w:id="0" w:name="_heading=h.gjdgxs" w:colFirst="0" w:colLast="0"/>
      <w:bookmarkEnd w:id="0"/>
    </w:p>
    <w:p w14:paraId="5114D00F" w14:textId="77777777" w:rsidR="00E133D3" w:rsidRPr="00E133D3" w:rsidRDefault="00E133D3" w:rsidP="00E133D3">
      <w:pPr>
        <w:spacing w:after="160"/>
        <w:jc w:val="center"/>
        <w:rPr>
          <w:rFonts w:ascii="Arial" w:eastAsia="Arial" w:hAnsi="Arial" w:cs="Arial"/>
          <w:b/>
          <w:lang w:val="en-US" w:eastAsia="en-US"/>
        </w:rPr>
      </w:pPr>
      <w:bookmarkStart w:id="1" w:name="_heading=h.1smt1ntxl6qq" w:colFirst="0" w:colLast="0"/>
      <w:bookmarkEnd w:id="1"/>
      <w:r w:rsidRPr="00E133D3">
        <w:rPr>
          <w:rFonts w:ascii="Arial" w:eastAsia="Arial" w:hAnsi="Arial" w:cs="Arial"/>
          <w:b/>
          <w:lang w:val="en-US" w:eastAsia="en-US"/>
        </w:rPr>
        <w:t>Case 1: St. Catharine’s Milling Co. v. The Queen</w:t>
      </w:r>
    </w:p>
    <w:p w14:paraId="267EBB0C" w14:textId="77777777" w:rsidR="00E133D3" w:rsidRPr="00E133D3" w:rsidRDefault="00296E15" w:rsidP="00E133D3">
      <w:pPr>
        <w:rPr>
          <w:rFonts w:ascii="Arial" w:eastAsia="Arial" w:hAnsi="Arial" w:cs="Arial"/>
          <w:b/>
          <w:sz w:val="22"/>
          <w:szCs w:val="22"/>
          <w:lang w:val="en-US" w:eastAsia="en-US"/>
        </w:rPr>
      </w:pPr>
      <w:hyperlink r:id="rId9">
        <w:r w:rsidR="00E133D3" w:rsidRPr="00E133D3">
          <w:rPr>
            <w:rFonts w:ascii="Arial" w:eastAsia="Arial" w:hAnsi="Arial" w:cs="Arial"/>
            <w:b/>
            <w:color w:val="0000FF"/>
            <w:sz w:val="22"/>
            <w:szCs w:val="22"/>
            <w:u w:val="single"/>
            <w:lang w:val="en-US" w:eastAsia="en-US"/>
          </w:rPr>
          <w:t xml:space="preserve">St. </w:t>
        </w:r>
        <w:proofErr w:type="spellStart"/>
        <w:r w:rsidR="00E133D3" w:rsidRPr="00E133D3">
          <w:rPr>
            <w:rFonts w:ascii="Arial" w:eastAsia="Arial" w:hAnsi="Arial" w:cs="Arial"/>
            <w:b/>
            <w:color w:val="0000FF"/>
            <w:sz w:val="22"/>
            <w:szCs w:val="22"/>
            <w:u w:val="single"/>
            <w:lang w:val="en-US" w:eastAsia="en-US"/>
          </w:rPr>
          <w:t>Catharines</w:t>
        </w:r>
        <w:proofErr w:type="spellEnd"/>
        <w:r w:rsidR="00E133D3" w:rsidRPr="00E133D3">
          <w:rPr>
            <w:rFonts w:ascii="Arial" w:eastAsia="Arial" w:hAnsi="Arial" w:cs="Arial"/>
            <w:b/>
            <w:color w:val="0000FF"/>
            <w:sz w:val="22"/>
            <w:szCs w:val="22"/>
            <w:u w:val="single"/>
            <w:lang w:val="en-US" w:eastAsia="en-US"/>
          </w:rPr>
          <w:t xml:space="preserve"> Milling and Lumber Co. v. R.</w:t>
        </w:r>
      </w:hyperlink>
    </w:p>
    <w:p w14:paraId="66DA8EE7" w14:textId="77777777" w:rsidR="00E133D3" w:rsidRPr="00E133D3" w:rsidRDefault="00E133D3" w:rsidP="00E133D3">
      <w:pPr>
        <w:rPr>
          <w:rFonts w:ascii="Arial" w:eastAsia="Arial" w:hAnsi="Arial" w:cs="Arial"/>
          <w:sz w:val="22"/>
          <w:szCs w:val="22"/>
          <w:lang w:val="en-US" w:eastAsia="en-US"/>
        </w:rPr>
      </w:pPr>
      <w:r w:rsidRPr="00E133D3">
        <w:rPr>
          <w:rFonts w:ascii="Arial" w:eastAsia="Arial" w:hAnsi="Arial" w:cs="Arial"/>
          <w:sz w:val="22"/>
          <w:szCs w:val="22"/>
          <w:lang w:val="en-US" w:eastAsia="en-US"/>
        </w:rPr>
        <w:t>Collection</w:t>
      </w:r>
      <w:r w:rsidRPr="00E133D3">
        <w:rPr>
          <w:rFonts w:ascii="Arial" w:eastAsia="Arial" w:hAnsi="Arial" w:cs="Arial"/>
          <w:sz w:val="22"/>
          <w:szCs w:val="22"/>
          <w:lang w:val="en-US" w:eastAsia="en-US"/>
        </w:rPr>
        <w:tab/>
        <w:t>Supreme Court Judgments</w:t>
      </w:r>
    </w:p>
    <w:p w14:paraId="69A9220F" w14:textId="77777777" w:rsidR="00E133D3" w:rsidRPr="00E133D3" w:rsidRDefault="00E133D3" w:rsidP="00E133D3">
      <w:pPr>
        <w:rPr>
          <w:rFonts w:ascii="Arial" w:eastAsia="Arial" w:hAnsi="Arial" w:cs="Arial"/>
          <w:sz w:val="22"/>
          <w:szCs w:val="22"/>
          <w:lang w:val="en-US" w:eastAsia="en-US"/>
        </w:rPr>
      </w:pPr>
      <w:r w:rsidRPr="00E133D3">
        <w:rPr>
          <w:rFonts w:ascii="Arial" w:eastAsia="Arial" w:hAnsi="Arial" w:cs="Arial"/>
          <w:sz w:val="22"/>
          <w:szCs w:val="22"/>
          <w:lang w:val="en-US" w:eastAsia="en-US"/>
        </w:rPr>
        <w:t>Date</w:t>
      </w:r>
      <w:r w:rsidRPr="00E133D3">
        <w:rPr>
          <w:rFonts w:ascii="Arial" w:eastAsia="Arial" w:hAnsi="Arial" w:cs="Arial"/>
          <w:sz w:val="22"/>
          <w:szCs w:val="22"/>
          <w:lang w:val="en-US" w:eastAsia="en-US"/>
        </w:rPr>
        <w:tab/>
        <w:t>1887-06-20</w:t>
      </w:r>
    </w:p>
    <w:p w14:paraId="188C9A1B" w14:textId="77777777" w:rsidR="00E133D3" w:rsidRPr="00E133D3" w:rsidRDefault="00E133D3" w:rsidP="00E133D3">
      <w:pPr>
        <w:rPr>
          <w:rFonts w:ascii="Arial" w:eastAsia="Arial" w:hAnsi="Arial" w:cs="Arial"/>
          <w:sz w:val="22"/>
          <w:szCs w:val="22"/>
          <w:lang w:val="en-US" w:eastAsia="en-US"/>
        </w:rPr>
      </w:pPr>
      <w:r w:rsidRPr="00E133D3">
        <w:rPr>
          <w:rFonts w:ascii="Arial" w:eastAsia="Arial" w:hAnsi="Arial" w:cs="Arial"/>
          <w:sz w:val="22"/>
          <w:szCs w:val="22"/>
          <w:lang w:val="en-US" w:eastAsia="en-US"/>
        </w:rPr>
        <w:t>Report</w:t>
      </w:r>
      <w:r w:rsidRPr="00E133D3">
        <w:rPr>
          <w:rFonts w:ascii="Arial" w:eastAsia="Arial" w:hAnsi="Arial" w:cs="Arial"/>
          <w:sz w:val="22"/>
          <w:szCs w:val="22"/>
          <w:lang w:val="en-US" w:eastAsia="en-US"/>
        </w:rPr>
        <w:tab/>
        <w:t>(1887) 13 SCR 577</w:t>
      </w:r>
    </w:p>
    <w:p w14:paraId="6500AC90" w14:textId="77777777" w:rsidR="00E133D3" w:rsidRPr="00E133D3" w:rsidRDefault="00E133D3" w:rsidP="00E133D3">
      <w:pPr>
        <w:rPr>
          <w:rFonts w:ascii="Arial" w:eastAsia="Arial" w:hAnsi="Arial" w:cs="Arial"/>
          <w:sz w:val="22"/>
          <w:szCs w:val="22"/>
          <w:lang w:val="en-US" w:eastAsia="en-US"/>
        </w:rPr>
      </w:pPr>
      <w:r w:rsidRPr="00E133D3">
        <w:rPr>
          <w:rFonts w:ascii="Arial" w:eastAsia="Arial" w:hAnsi="Arial" w:cs="Arial"/>
          <w:sz w:val="22"/>
          <w:szCs w:val="22"/>
          <w:lang w:val="en-US" w:eastAsia="en-US"/>
        </w:rPr>
        <w:t>Judges</w:t>
      </w:r>
      <w:r w:rsidRPr="00E133D3">
        <w:rPr>
          <w:rFonts w:ascii="Arial" w:eastAsia="Arial" w:hAnsi="Arial" w:cs="Arial"/>
          <w:sz w:val="22"/>
          <w:szCs w:val="22"/>
          <w:lang w:val="en-US" w:eastAsia="en-US"/>
        </w:rPr>
        <w:tab/>
        <w:t xml:space="preserve">Ritchie, William Johnstone; Strong, Samuel Henry; Fournier, </w:t>
      </w:r>
      <w:proofErr w:type="spellStart"/>
      <w:r w:rsidRPr="00E133D3">
        <w:rPr>
          <w:rFonts w:ascii="Arial" w:eastAsia="Arial" w:hAnsi="Arial" w:cs="Arial"/>
          <w:sz w:val="22"/>
          <w:szCs w:val="22"/>
          <w:lang w:val="en-US" w:eastAsia="en-US"/>
        </w:rPr>
        <w:t>Télesphore</w:t>
      </w:r>
      <w:proofErr w:type="spellEnd"/>
      <w:r w:rsidRPr="00E133D3">
        <w:rPr>
          <w:rFonts w:ascii="Arial" w:eastAsia="Arial" w:hAnsi="Arial" w:cs="Arial"/>
          <w:sz w:val="22"/>
          <w:szCs w:val="22"/>
          <w:lang w:val="en-US" w:eastAsia="en-US"/>
        </w:rPr>
        <w:t xml:space="preserve">; Henry, William Alexander; </w:t>
      </w:r>
      <w:proofErr w:type="spellStart"/>
      <w:r w:rsidRPr="00E133D3">
        <w:rPr>
          <w:rFonts w:ascii="Arial" w:eastAsia="Arial" w:hAnsi="Arial" w:cs="Arial"/>
          <w:sz w:val="22"/>
          <w:szCs w:val="22"/>
          <w:lang w:val="en-US" w:eastAsia="en-US"/>
        </w:rPr>
        <w:t>Taschereau</w:t>
      </w:r>
      <w:proofErr w:type="spellEnd"/>
      <w:r w:rsidRPr="00E133D3">
        <w:rPr>
          <w:rFonts w:ascii="Arial" w:eastAsia="Arial" w:hAnsi="Arial" w:cs="Arial"/>
          <w:sz w:val="22"/>
          <w:szCs w:val="22"/>
          <w:lang w:val="en-US" w:eastAsia="en-US"/>
        </w:rPr>
        <w:t>, Henri-</w:t>
      </w:r>
      <w:proofErr w:type="spellStart"/>
      <w:r w:rsidRPr="00E133D3">
        <w:rPr>
          <w:rFonts w:ascii="Arial" w:eastAsia="Arial" w:hAnsi="Arial" w:cs="Arial"/>
          <w:sz w:val="22"/>
          <w:szCs w:val="22"/>
          <w:lang w:val="en-US" w:eastAsia="en-US"/>
        </w:rPr>
        <w:t>Elzéar</w:t>
      </w:r>
      <w:proofErr w:type="spellEnd"/>
      <w:r w:rsidRPr="00E133D3">
        <w:rPr>
          <w:rFonts w:ascii="Arial" w:eastAsia="Arial" w:hAnsi="Arial" w:cs="Arial"/>
          <w:sz w:val="22"/>
          <w:szCs w:val="22"/>
          <w:lang w:val="en-US" w:eastAsia="en-US"/>
        </w:rPr>
        <w:t>; Gwynne, John Wellington</w:t>
      </w:r>
    </w:p>
    <w:p w14:paraId="65E8F756" w14:textId="77777777" w:rsidR="00E133D3" w:rsidRPr="00E133D3" w:rsidRDefault="00E133D3" w:rsidP="00E133D3">
      <w:pPr>
        <w:rPr>
          <w:rFonts w:ascii="Arial" w:eastAsia="Arial" w:hAnsi="Arial" w:cs="Arial"/>
          <w:sz w:val="22"/>
          <w:szCs w:val="22"/>
          <w:lang w:val="en-US" w:eastAsia="en-US"/>
        </w:rPr>
      </w:pPr>
      <w:r w:rsidRPr="00E133D3">
        <w:rPr>
          <w:rFonts w:ascii="Arial" w:eastAsia="Arial" w:hAnsi="Arial" w:cs="Arial"/>
          <w:sz w:val="22"/>
          <w:szCs w:val="22"/>
          <w:lang w:val="en-US" w:eastAsia="en-US"/>
        </w:rPr>
        <w:t>On appeal from</w:t>
      </w:r>
      <w:r w:rsidRPr="00E133D3">
        <w:rPr>
          <w:rFonts w:ascii="Arial" w:eastAsia="Arial" w:hAnsi="Arial" w:cs="Arial"/>
          <w:sz w:val="22"/>
          <w:szCs w:val="22"/>
          <w:lang w:val="en-US" w:eastAsia="en-US"/>
        </w:rPr>
        <w:tab/>
        <w:t xml:space="preserve"> Ontario</w:t>
      </w:r>
    </w:p>
    <w:p w14:paraId="35659514" w14:textId="77777777" w:rsidR="00E133D3" w:rsidRPr="00E133D3" w:rsidRDefault="00E133D3" w:rsidP="00E133D3">
      <w:pPr>
        <w:rPr>
          <w:rFonts w:ascii="Arial" w:eastAsia="Arial" w:hAnsi="Arial" w:cs="Arial"/>
          <w:sz w:val="22"/>
          <w:szCs w:val="22"/>
          <w:lang w:val="en-US" w:eastAsia="en-US"/>
        </w:rPr>
      </w:pPr>
      <w:r w:rsidRPr="00E133D3">
        <w:rPr>
          <w:rFonts w:ascii="Arial" w:eastAsia="Arial" w:hAnsi="Arial" w:cs="Arial"/>
          <w:sz w:val="22"/>
          <w:szCs w:val="22"/>
          <w:lang w:val="en-US" w:eastAsia="en-US"/>
        </w:rPr>
        <w:t>Subjects</w:t>
      </w:r>
      <w:r w:rsidRPr="00E133D3">
        <w:rPr>
          <w:rFonts w:ascii="Arial" w:eastAsia="Arial" w:hAnsi="Arial" w:cs="Arial"/>
          <w:sz w:val="22"/>
          <w:szCs w:val="22"/>
          <w:lang w:val="en-US" w:eastAsia="en-US"/>
        </w:rPr>
        <w:tab/>
        <w:t>Aboriginal law</w:t>
      </w:r>
    </w:p>
    <w:p w14:paraId="1514FD41" w14:textId="77777777" w:rsidR="00E133D3" w:rsidRPr="00E133D3" w:rsidRDefault="00E133D3" w:rsidP="00E133D3">
      <w:pPr>
        <w:spacing w:after="160"/>
        <w:rPr>
          <w:rFonts w:ascii="Arial" w:eastAsia="Arial" w:hAnsi="Arial" w:cs="Arial"/>
          <w:sz w:val="22"/>
          <w:szCs w:val="22"/>
          <w:lang w:val="en-US" w:eastAsia="en-US"/>
        </w:rPr>
      </w:pPr>
      <w:r w:rsidRPr="00E133D3">
        <w:rPr>
          <w:rFonts w:ascii="Arial" w:eastAsia="Arial" w:hAnsi="Arial" w:cs="Arial"/>
          <w:sz w:val="22"/>
          <w:szCs w:val="22"/>
          <w:lang w:val="en-US" w:eastAsia="en-US"/>
        </w:rPr>
        <w:t xml:space="preserve">---------- </w:t>
      </w:r>
    </w:p>
    <w:p w14:paraId="61446A0C" w14:textId="77777777" w:rsidR="00E133D3" w:rsidRPr="00E133D3" w:rsidRDefault="00E133D3" w:rsidP="00E133D3">
      <w:pPr>
        <w:rPr>
          <w:rFonts w:ascii="Arial" w:eastAsia="Arial" w:hAnsi="Arial" w:cs="Arial"/>
          <w:b/>
          <w:sz w:val="22"/>
          <w:szCs w:val="22"/>
          <w:lang w:val="en-US" w:eastAsia="en-US"/>
        </w:rPr>
      </w:pPr>
      <w:r w:rsidRPr="00E133D3">
        <w:rPr>
          <w:rFonts w:ascii="Arial" w:eastAsia="Arial" w:hAnsi="Arial" w:cs="Arial"/>
          <w:b/>
          <w:sz w:val="22"/>
          <w:szCs w:val="22"/>
          <w:lang w:val="en-US" w:eastAsia="en-US"/>
        </w:rPr>
        <w:t>St. Catherine’s Milling Co. v. The Queen</w:t>
      </w:r>
    </w:p>
    <w:p w14:paraId="18A53A7C" w14:textId="77777777" w:rsidR="00E133D3" w:rsidRPr="00E133D3" w:rsidRDefault="00E133D3" w:rsidP="00E133D3">
      <w:pPr>
        <w:rPr>
          <w:rFonts w:ascii="Arial" w:eastAsia="Arial" w:hAnsi="Arial" w:cs="Arial"/>
          <w:i/>
          <w:sz w:val="22"/>
          <w:szCs w:val="22"/>
          <w:lang w:val="en-US" w:eastAsia="en-US"/>
        </w:rPr>
      </w:pPr>
      <w:r w:rsidRPr="00E133D3">
        <w:rPr>
          <w:rFonts w:ascii="Arial" w:eastAsia="Arial" w:hAnsi="Arial" w:cs="Arial"/>
          <w:i/>
          <w:sz w:val="22"/>
          <w:szCs w:val="22"/>
          <w:lang w:val="en-US" w:eastAsia="en-US"/>
        </w:rPr>
        <w:t>Judicial Committee of the Privy Council – [1888] 14 A.C. 46</w:t>
      </w:r>
    </w:p>
    <w:p w14:paraId="15C15EA6" w14:textId="77777777" w:rsidR="00E133D3" w:rsidRPr="00E133D3" w:rsidRDefault="00296E15" w:rsidP="00E133D3">
      <w:pPr>
        <w:rPr>
          <w:rFonts w:ascii="Arial" w:eastAsia="Arial" w:hAnsi="Arial" w:cs="Arial"/>
          <w:b/>
          <w:sz w:val="22"/>
          <w:szCs w:val="22"/>
          <w:lang w:val="en-US" w:eastAsia="en-US"/>
        </w:rPr>
      </w:pPr>
      <w:r>
        <w:rPr>
          <w:noProof/>
          <w:sz w:val="22"/>
          <w:szCs w:val="22"/>
          <w:lang w:val="en-US" w:eastAsia="en-US"/>
        </w:rPr>
        <w:pict w14:anchorId="0260D358">
          <v:rect id="_x0000_i1025" alt="" style="width:468pt;height:.05pt;mso-width-percent:0;mso-height-percent:0;mso-width-percent:0;mso-height-percent:0" o:hralign="center" o:hrstd="t" o:hr="t" fillcolor="#a0a0a0" stroked="f"/>
        </w:pict>
      </w:r>
    </w:p>
    <w:p w14:paraId="3658B13D" w14:textId="77777777" w:rsidR="00E133D3" w:rsidRPr="00E133D3" w:rsidRDefault="00296E15" w:rsidP="00E133D3">
      <w:pPr>
        <w:rPr>
          <w:rFonts w:ascii="Arial" w:eastAsia="Arial" w:hAnsi="Arial" w:cs="Arial"/>
          <w:sz w:val="22"/>
          <w:szCs w:val="22"/>
          <w:lang w:val="en-US" w:eastAsia="en-US"/>
        </w:rPr>
      </w:pPr>
      <w:hyperlink r:id="rId10">
        <w:r w:rsidR="00E133D3" w:rsidRPr="00E133D3">
          <w:rPr>
            <w:rFonts w:ascii="Arial" w:eastAsia="Arial" w:hAnsi="Arial" w:cs="Arial"/>
            <w:color w:val="0000FF"/>
            <w:sz w:val="22"/>
            <w:szCs w:val="22"/>
            <w:u w:val="single"/>
            <w:lang w:val="en-US" w:eastAsia="en-US"/>
          </w:rPr>
          <w:t>Ontario</w:t>
        </w:r>
      </w:hyperlink>
      <w:r w:rsidR="00E133D3" w:rsidRPr="00E133D3">
        <w:rPr>
          <w:rFonts w:ascii="Arial" w:eastAsia="Arial" w:hAnsi="Arial" w:cs="Arial"/>
          <w:sz w:val="22"/>
          <w:szCs w:val="22"/>
          <w:lang w:val="en-US" w:eastAsia="en-US"/>
        </w:rPr>
        <w:t> </w:t>
      </w:r>
      <w:hyperlink r:id="rId11">
        <w:r w:rsidR="00E133D3" w:rsidRPr="00E133D3">
          <w:rPr>
            <w:rFonts w:ascii="Arial" w:eastAsia="Arial" w:hAnsi="Arial" w:cs="Arial"/>
            <w:color w:val="0000FF"/>
            <w:sz w:val="22"/>
            <w:szCs w:val="22"/>
            <w:u w:val="single"/>
            <w:lang w:val="en-US" w:eastAsia="en-US"/>
          </w:rPr>
          <w:t>Aboriginal title</w:t>
        </w:r>
      </w:hyperlink>
      <w:r w:rsidR="00E133D3" w:rsidRPr="00E133D3">
        <w:rPr>
          <w:rFonts w:ascii="Arial" w:eastAsia="Arial" w:hAnsi="Arial" w:cs="Arial"/>
          <w:sz w:val="22"/>
          <w:szCs w:val="22"/>
          <w:lang w:val="en-US" w:eastAsia="en-US"/>
        </w:rPr>
        <w:t xml:space="preserve"> </w:t>
      </w:r>
      <w:hyperlink r:id="rId12">
        <w:r w:rsidR="00E133D3" w:rsidRPr="00E133D3">
          <w:rPr>
            <w:rFonts w:ascii="Arial" w:eastAsia="Arial" w:hAnsi="Arial" w:cs="Arial"/>
            <w:color w:val="0000FF"/>
            <w:sz w:val="22"/>
            <w:szCs w:val="22"/>
            <w:u w:val="single"/>
            <w:lang w:val="en-US" w:eastAsia="en-US"/>
          </w:rPr>
          <w:t>Jurisdiction over Indians</w:t>
        </w:r>
      </w:hyperlink>
      <w:r w:rsidR="00E133D3" w:rsidRPr="00E133D3">
        <w:rPr>
          <w:rFonts w:ascii="Arial" w:eastAsia="Arial" w:hAnsi="Arial" w:cs="Arial"/>
          <w:sz w:val="22"/>
          <w:szCs w:val="22"/>
          <w:lang w:val="en-US" w:eastAsia="en-US"/>
        </w:rPr>
        <w:t xml:space="preserve"> </w:t>
      </w:r>
    </w:p>
    <w:p w14:paraId="03944E13" w14:textId="77777777" w:rsidR="00E133D3" w:rsidRPr="00E133D3" w:rsidRDefault="00E133D3" w:rsidP="00E133D3">
      <w:pPr>
        <w:rPr>
          <w:rFonts w:ascii="Arial" w:eastAsia="Arial" w:hAnsi="Arial" w:cs="Arial"/>
          <w:b/>
          <w:sz w:val="22"/>
          <w:szCs w:val="22"/>
          <w:lang w:val="en-US" w:eastAsia="en-US"/>
        </w:rPr>
      </w:pPr>
      <w:r w:rsidRPr="00E133D3">
        <w:rPr>
          <w:rFonts w:ascii="Arial" w:eastAsia="Arial" w:hAnsi="Arial" w:cs="Arial"/>
          <w:b/>
          <w:sz w:val="22"/>
          <w:szCs w:val="22"/>
          <w:lang w:val="en-US" w:eastAsia="en-US"/>
        </w:rPr>
        <w:t>Summary</w:t>
      </w:r>
    </w:p>
    <w:p w14:paraId="6B83EB5E" w14:textId="77777777" w:rsidR="00E133D3" w:rsidRPr="00E133D3" w:rsidRDefault="00E133D3" w:rsidP="00E133D3">
      <w:pPr>
        <w:rPr>
          <w:rFonts w:ascii="Arial" w:eastAsia="Arial" w:hAnsi="Arial" w:cs="Arial"/>
          <w:sz w:val="22"/>
          <w:szCs w:val="22"/>
          <w:lang w:val="en-US" w:eastAsia="en-US"/>
        </w:rPr>
      </w:pPr>
      <w:r w:rsidRPr="00E133D3">
        <w:rPr>
          <w:rFonts w:ascii="Arial" w:eastAsia="Arial" w:hAnsi="Arial" w:cs="Arial"/>
          <w:sz w:val="22"/>
          <w:szCs w:val="22"/>
          <w:lang w:val="en-US" w:eastAsia="en-US"/>
        </w:rPr>
        <w:t>This decision from Canada’s highest court had monumental impacts on the relation between Canada and Aboriginal peoples. It governed Canada’s policy over Indian title for almost a century, until </w:t>
      </w:r>
      <w:r w:rsidRPr="00E133D3">
        <w:rPr>
          <w:rFonts w:ascii="Arial" w:eastAsia="Arial" w:hAnsi="Arial" w:cs="Arial"/>
          <w:i/>
          <w:sz w:val="22"/>
          <w:szCs w:val="22"/>
          <w:lang w:val="en-US" w:eastAsia="en-US"/>
        </w:rPr>
        <w:t>Calder</w:t>
      </w:r>
      <w:r w:rsidRPr="00E133D3">
        <w:rPr>
          <w:rFonts w:ascii="Arial" w:eastAsia="Arial" w:hAnsi="Arial" w:cs="Arial"/>
          <w:sz w:val="22"/>
          <w:szCs w:val="22"/>
          <w:lang w:val="en-US" w:eastAsia="en-US"/>
        </w:rPr>
        <w:t>, in 1973.</w:t>
      </w:r>
    </w:p>
    <w:p w14:paraId="3EE96564" w14:textId="77777777" w:rsidR="00E133D3" w:rsidRPr="00E133D3" w:rsidRDefault="00E133D3" w:rsidP="00E133D3">
      <w:pPr>
        <w:spacing w:after="160"/>
        <w:rPr>
          <w:rFonts w:ascii="Arial" w:eastAsia="Arial" w:hAnsi="Arial" w:cs="Arial"/>
          <w:sz w:val="22"/>
          <w:szCs w:val="22"/>
          <w:lang w:val="en-US" w:eastAsia="en-US"/>
        </w:rPr>
      </w:pPr>
      <w:r w:rsidRPr="00E133D3">
        <w:rPr>
          <w:rFonts w:ascii="Arial" w:eastAsia="Arial" w:hAnsi="Arial" w:cs="Arial"/>
          <w:sz w:val="22"/>
          <w:szCs w:val="22"/>
          <w:lang w:val="en-US" w:eastAsia="en-US"/>
        </w:rPr>
        <w:t>The Council recognized that the </w:t>
      </w:r>
      <w:r w:rsidRPr="00E133D3">
        <w:rPr>
          <w:rFonts w:ascii="Arial" w:eastAsia="Arial" w:hAnsi="Arial" w:cs="Arial"/>
          <w:i/>
          <w:sz w:val="22"/>
          <w:szCs w:val="22"/>
          <w:lang w:val="en-US" w:eastAsia="en-US"/>
        </w:rPr>
        <w:t>Royal Proclamation of 1763</w:t>
      </w:r>
      <w:r w:rsidRPr="00E133D3">
        <w:rPr>
          <w:rFonts w:ascii="Arial" w:eastAsia="Arial" w:hAnsi="Arial" w:cs="Arial"/>
          <w:sz w:val="22"/>
          <w:szCs w:val="22"/>
          <w:lang w:val="en-US" w:eastAsia="en-US"/>
        </w:rPr>
        <w:t xml:space="preserve"> gave the Indians only a right of occupancy, which encroached on the </w:t>
      </w:r>
      <w:proofErr w:type="gramStart"/>
      <w:r w:rsidRPr="00E133D3">
        <w:rPr>
          <w:rFonts w:ascii="Arial" w:eastAsia="Arial" w:hAnsi="Arial" w:cs="Arial"/>
          <w:sz w:val="22"/>
          <w:szCs w:val="22"/>
          <w:lang w:val="en-US" w:eastAsia="en-US"/>
        </w:rPr>
        <w:t>Province’s</w:t>
      </w:r>
      <w:proofErr w:type="gramEnd"/>
      <w:r w:rsidRPr="00E133D3">
        <w:rPr>
          <w:rFonts w:ascii="Arial" w:eastAsia="Arial" w:hAnsi="Arial" w:cs="Arial"/>
          <w:sz w:val="22"/>
          <w:szCs w:val="22"/>
          <w:lang w:val="en-US" w:eastAsia="en-US"/>
        </w:rPr>
        <w:t xml:space="preserve"> title. Once this right is ceded to the Dominion, full proprietary interest reverts to the province.</w:t>
      </w:r>
    </w:p>
    <w:p w14:paraId="1AE38B11" w14:textId="77777777" w:rsidR="00E133D3" w:rsidRPr="00E133D3" w:rsidRDefault="00E133D3" w:rsidP="00E133D3">
      <w:pPr>
        <w:spacing w:after="80"/>
        <w:rPr>
          <w:rFonts w:ascii="Arial" w:eastAsia="Arial" w:hAnsi="Arial" w:cs="Arial"/>
          <w:color w:val="FF0000"/>
          <w:sz w:val="22"/>
          <w:szCs w:val="22"/>
          <w:lang w:val="en-US" w:eastAsia="en-US"/>
        </w:rPr>
      </w:pPr>
      <w:r w:rsidRPr="00E133D3">
        <w:rPr>
          <w:rFonts w:ascii="Arial" w:eastAsia="Arial" w:hAnsi="Arial" w:cs="Arial"/>
          <w:sz w:val="22"/>
          <w:szCs w:val="22"/>
          <w:lang w:val="en-US" w:eastAsia="en-US"/>
        </w:rPr>
        <w:t xml:space="preserve">[The Summary above is from: </w:t>
      </w:r>
      <w:hyperlink r:id="rId13">
        <w:r w:rsidRPr="00E133D3">
          <w:rPr>
            <w:rFonts w:ascii="Arial" w:eastAsia="Arial" w:hAnsi="Arial" w:cs="Arial"/>
            <w:color w:val="0000FF"/>
            <w:sz w:val="22"/>
            <w:szCs w:val="22"/>
            <w:u w:val="single"/>
            <w:lang w:val="en-US" w:eastAsia="en-US"/>
          </w:rPr>
          <w:t xml:space="preserve">St. Catherine’s Milling Co. v. The Queen - Indigenous Jurisprudence </w:t>
        </w:r>
        <w:proofErr w:type="spellStart"/>
        <w:r w:rsidRPr="00E133D3">
          <w:rPr>
            <w:rFonts w:ascii="Arial" w:eastAsia="Arial" w:hAnsi="Arial" w:cs="Arial"/>
            <w:color w:val="0000FF"/>
            <w:sz w:val="22"/>
            <w:szCs w:val="22"/>
            <w:u w:val="single"/>
            <w:lang w:val="en-US" w:eastAsia="en-US"/>
          </w:rPr>
          <w:t>Autochtone</w:t>
        </w:r>
        <w:proofErr w:type="spellEnd"/>
        <w:r w:rsidRPr="00E133D3">
          <w:rPr>
            <w:rFonts w:ascii="Arial" w:eastAsia="Arial" w:hAnsi="Arial" w:cs="Arial"/>
            <w:color w:val="0000FF"/>
            <w:sz w:val="22"/>
            <w:szCs w:val="22"/>
            <w:u w:val="single"/>
            <w:lang w:val="en-US" w:eastAsia="en-US"/>
          </w:rPr>
          <w:t xml:space="preserve"> (reseaudialog.ca)</w:t>
        </w:r>
      </w:hyperlink>
      <w:r w:rsidRPr="00E133D3">
        <w:rPr>
          <w:rFonts w:ascii="Arial" w:eastAsia="Arial" w:hAnsi="Arial" w:cs="Arial"/>
          <w:sz w:val="22"/>
          <w:szCs w:val="22"/>
          <w:lang w:val="en-US" w:eastAsia="en-US"/>
        </w:rPr>
        <w:t xml:space="preserve">.] </w:t>
      </w:r>
      <w:r w:rsidRPr="00E133D3">
        <w:rPr>
          <w:rFonts w:ascii="Arial" w:eastAsia="Arial" w:hAnsi="Arial" w:cs="Arial"/>
          <w:color w:val="FF0000"/>
          <w:sz w:val="22"/>
          <w:szCs w:val="22"/>
          <w:lang w:val="en-US" w:eastAsia="en-US"/>
        </w:rPr>
        <w:t>Visit that page to answer the questions in the chart below.]</w:t>
      </w:r>
    </w:p>
    <w:p w14:paraId="265AC792" w14:textId="77777777" w:rsidR="00E133D3" w:rsidRPr="00E133D3" w:rsidRDefault="00E133D3" w:rsidP="00E133D3">
      <w:pPr>
        <w:spacing w:after="80"/>
        <w:rPr>
          <w:rFonts w:ascii="Arial" w:eastAsia="Arial" w:hAnsi="Arial" w:cs="Arial"/>
          <w:color w:val="FF0000"/>
          <w:sz w:val="22"/>
          <w:szCs w:val="22"/>
          <w:lang w:val="en-US" w:eastAsia="en-US"/>
        </w:rPr>
      </w:pPr>
    </w:p>
    <w:p w14:paraId="03A6EEF4" w14:textId="77777777" w:rsidR="00E133D3" w:rsidRPr="00E133D3" w:rsidRDefault="00E133D3" w:rsidP="00E133D3">
      <w:pPr>
        <w:spacing w:after="80"/>
        <w:rPr>
          <w:rFonts w:ascii="Arial" w:eastAsia="Arial" w:hAnsi="Arial" w:cs="Arial"/>
          <w:sz w:val="22"/>
          <w:szCs w:val="22"/>
          <w:lang w:val="en-US" w:eastAsia="en-US"/>
        </w:rPr>
      </w:pPr>
      <w:r w:rsidRPr="00E133D3">
        <w:rPr>
          <w:rFonts w:ascii="Arial" w:eastAsia="Arial" w:hAnsi="Arial" w:cs="Arial"/>
          <w:color w:val="FF0000"/>
          <w:sz w:val="22"/>
          <w:szCs w:val="22"/>
          <w:lang w:val="en-US" w:eastAsia="en-US"/>
        </w:rPr>
        <w:t xml:space="preserve">The decision is also on the </w:t>
      </w:r>
      <w:proofErr w:type="spellStart"/>
      <w:r w:rsidRPr="00E133D3">
        <w:rPr>
          <w:rFonts w:ascii="Arial" w:eastAsia="Arial" w:hAnsi="Arial" w:cs="Arial"/>
          <w:color w:val="FF0000"/>
          <w:sz w:val="22"/>
          <w:szCs w:val="22"/>
          <w:lang w:val="en-US" w:eastAsia="en-US"/>
        </w:rPr>
        <w:t>CanLII</w:t>
      </w:r>
      <w:proofErr w:type="spellEnd"/>
      <w:r w:rsidRPr="00E133D3">
        <w:rPr>
          <w:rFonts w:ascii="Arial" w:eastAsia="Arial" w:hAnsi="Arial" w:cs="Arial"/>
          <w:color w:val="FF0000"/>
          <w:sz w:val="22"/>
          <w:szCs w:val="22"/>
          <w:lang w:val="en-US" w:eastAsia="en-US"/>
        </w:rPr>
        <w:t xml:space="preserve"> website: </w:t>
      </w:r>
      <w:hyperlink r:id="rId14">
        <w:r w:rsidRPr="00E133D3">
          <w:rPr>
            <w:rFonts w:ascii="Arial" w:eastAsia="Arial" w:hAnsi="Arial" w:cs="Arial"/>
            <w:color w:val="0000FF"/>
            <w:sz w:val="22"/>
            <w:szCs w:val="22"/>
            <w:u w:val="single"/>
            <w:lang w:val="en-US" w:eastAsia="en-US"/>
          </w:rPr>
          <w:t xml:space="preserve">St. </w:t>
        </w:r>
        <w:proofErr w:type="spellStart"/>
        <w:r w:rsidRPr="00E133D3">
          <w:rPr>
            <w:rFonts w:ascii="Arial" w:eastAsia="Arial" w:hAnsi="Arial" w:cs="Arial"/>
            <w:color w:val="0000FF"/>
            <w:sz w:val="22"/>
            <w:szCs w:val="22"/>
            <w:u w:val="single"/>
            <w:lang w:val="en-US" w:eastAsia="en-US"/>
          </w:rPr>
          <w:t>Catharines</w:t>
        </w:r>
        <w:proofErr w:type="spellEnd"/>
        <w:r w:rsidRPr="00E133D3">
          <w:rPr>
            <w:rFonts w:ascii="Arial" w:eastAsia="Arial" w:hAnsi="Arial" w:cs="Arial"/>
            <w:color w:val="0000FF"/>
            <w:sz w:val="22"/>
            <w:szCs w:val="22"/>
            <w:u w:val="single"/>
            <w:lang w:val="en-US" w:eastAsia="en-US"/>
          </w:rPr>
          <w:t xml:space="preserve"> Milling and Lumber Co. v. R., 1887 </w:t>
        </w:r>
        <w:proofErr w:type="spellStart"/>
        <w:r w:rsidRPr="00E133D3">
          <w:rPr>
            <w:rFonts w:ascii="Arial" w:eastAsia="Arial" w:hAnsi="Arial" w:cs="Arial"/>
            <w:color w:val="0000FF"/>
            <w:sz w:val="22"/>
            <w:szCs w:val="22"/>
            <w:u w:val="single"/>
            <w:lang w:val="en-US" w:eastAsia="en-US"/>
          </w:rPr>
          <w:t>CanLII</w:t>
        </w:r>
        <w:proofErr w:type="spellEnd"/>
        <w:r w:rsidRPr="00E133D3">
          <w:rPr>
            <w:rFonts w:ascii="Arial" w:eastAsia="Arial" w:hAnsi="Arial" w:cs="Arial"/>
            <w:color w:val="0000FF"/>
            <w:sz w:val="22"/>
            <w:szCs w:val="22"/>
            <w:u w:val="single"/>
            <w:lang w:val="en-US" w:eastAsia="en-US"/>
          </w:rPr>
          <w:t xml:space="preserve"> 3 (SCC), 13 SCR 577</w:t>
        </w:r>
      </w:hyperlink>
    </w:p>
    <w:p w14:paraId="3629C1FC" w14:textId="77777777" w:rsidR="00E133D3" w:rsidRPr="00E133D3" w:rsidRDefault="00E133D3" w:rsidP="00E133D3">
      <w:pPr>
        <w:pBdr>
          <w:top w:val="nil"/>
          <w:left w:val="nil"/>
          <w:bottom w:val="nil"/>
          <w:right w:val="nil"/>
          <w:between w:val="nil"/>
        </w:pBdr>
        <w:rPr>
          <w:rFonts w:ascii="Arial" w:eastAsia="Arial" w:hAnsi="Arial" w:cs="Arial"/>
          <w:color w:val="000000"/>
          <w:sz w:val="22"/>
          <w:szCs w:val="22"/>
          <w:lang w:val="en-US" w:eastAsia="en-US"/>
        </w:rPr>
      </w:pPr>
      <w:r w:rsidRPr="00E133D3">
        <w:rPr>
          <w:rFonts w:ascii="Arial" w:eastAsia="Arial" w:hAnsi="Arial" w:cs="Arial"/>
          <w:b/>
          <w:color w:val="000000"/>
          <w:sz w:val="22"/>
          <w:szCs w:val="22"/>
          <w:lang w:val="en-US" w:eastAsia="en-US"/>
        </w:rPr>
        <w:t>Supreme Court of Canada</w:t>
      </w:r>
    </w:p>
    <w:p w14:paraId="7B03B4FD" w14:textId="77777777" w:rsidR="00E133D3" w:rsidRPr="00E133D3" w:rsidRDefault="00E133D3" w:rsidP="00E133D3">
      <w:pPr>
        <w:pBdr>
          <w:top w:val="nil"/>
          <w:left w:val="nil"/>
          <w:bottom w:val="nil"/>
          <w:right w:val="nil"/>
          <w:between w:val="nil"/>
        </w:pBdr>
        <w:rPr>
          <w:rFonts w:ascii="Arial" w:eastAsia="Arial" w:hAnsi="Arial" w:cs="Arial"/>
          <w:color w:val="000000"/>
          <w:sz w:val="22"/>
          <w:szCs w:val="22"/>
          <w:lang w:val="en-US" w:eastAsia="en-US"/>
        </w:rPr>
      </w:pPr>
      <w:r w:rsidRPr="00E133D3">
        <w:rPr>
          <w:rFonts w:ascii="Arial" w:eastAsia="Arial" w:hAnsi="Arial" w:cs="Arial"/>
          <w:b/>
          <w:color w:val="000000"/>
          <w:sz w:val="22"/>
          <w:szCs w:val="22"/>
          <w:lang w:val="en-US" w:eastAsia="en-US"/>
        </w:rPr>
        <w:t xml:space="preserve">St. </w:t>
      </w:r>
      <w:proofErr w:type="spellStart"/>
      <w:r w:rsidRPr="00E133D3">
        <w:rPr>
          <w:rFonts w:ascii="Arial" w:eastAsia="Arial" w:hAnsi="Arial" w:cs="Arial"/>
          <w:b/>
          <w:color w:val="000000"/>
          <w:sz w:val="22"/>
          <w:szCs w:val="22"/>
          <w:lang w:val="en-US" w:eastAsia="en-US"/>
        </w:rPr>
        <w:t>Catharines</w:t>
      </w:r>
      <w:proofErr w:type="spellEnd"/>
      <w:r w:rsidRPr="00E133D3">
        <w:rPr>
          <w:rFonts w:ascii="Arial" w:eastAsia="Arial" w:hAnsi="Arial" w:cs="Arial"/>
          <w:b/>
          <w:color w:val="000000"/>
          <w:sz w:val="22"/>
          <w:szCs w:val="22"/>
          <w:lang w:val="en-US" w:eastAsia="en-US"/>
        </w:rPr>
        <w:t xml:space="preserve"> Milling and Lumber Co. v. R, (1887) 13 S.C.R. 577</w:t>
      </w:r>
    </w:p>
    <w:p w14:paraId="584342F2" w14:textId="77777777" w:rsidR="00E133D3" w:rsidRPr="00E133D3" w:rsidRDefault="00E133D3" w:rsidP="00E133D3">
      <w:pPr>
        <w:pBdr>
          <w:top w:val="nil"/>
          <w:left w:val="nil"/>
          <w:bottom w:val="nil"/>
          <w:right w:val="nil"/>
          <w:between w:val="nil"/>
        </w:pBdr>
        <w:rPr>
          <w:rFonts w:ascii="Arial" w:eastAsia="Arial" w:hAnsi="Arial" w:cs="Arial"/>
          <w:color w:val="000000"/>
          <w:sz w:val="22"/>
          <w:szCs w:val="22"/>
          <w:lang w:val="en-US" w:eastAsia="en-US"/>
        </w:rPr>
      </w:pPr>
      <w:r w:rsidRPr="00E133D3">
        <w:rPr>
          <w:rFonts w:ascii="Arial" w:eastAsia="Arial" w:hAnsi="Arial" w:cs="Arial"/>
          <w:b/>
          <w:color w:val="000000"/>
          <w:sz w:val="22"/>
          <w:szCs w:val="22"/>
          <w:lang w:val="en-US" w:eastAsia="en-US"/>
        </w:rPr>
        <w:t>Date: 1887-06-20</w:t>
      </w:r>
    </w:p>
    <w:p w14:paraId="276C33A1" w14:textId="77777777" w:rsidR="00E133D3" w:rsidRPr="00E133D3" w:rsidRDefault="00E133D3" w:rsidP="00E133D3">
      <w:pPr>
        <w:pBdr>
          <w:top w:val="nil"/>
          <w:left w:val="nil"/>
          <w:bottom w:val="nil"/>
          <w:right w:val="nil"/>
          <w:between w:val="nil"/>
        </w:pBdr>
        <w:rPr>
          <w:rFonts w:ascii="Arial" w:eastAsia="Arial" w:hAnsi="Arial" w:cs="Arial"/>
          <w:color w:val="000000"/>
          <w:sz w:val="22"/>
          <w:szCs w:val="22"/>
          <w:lang w:val="en-US" w:eastAsia="en-US"/>
        </w:rPr>
      </w:pPr>
      <w:r w:rsidRPr="00E133D3">
        <w:rPr>
          <w:rFonts w:ascii="Arial" w:eastAsia="Arial" w:hAnsi="Arial" w:cs="Arial"/>
          <w:color w:val="000000"/>
          <w:sz w:val="22"/>
          <w:szCs w:val="22"/>
          <w:lang w:val="en-US" w:eastAsia="en-US"/>
        </w:rPr>
        <w:t>The St. </w:t>
      </w:r>
      <w:proofErr w:type="spellStart"/>
      <w:r w:rsidRPr="00E133D3">
        <w:rPr>
          <w:rFonts w:ascii="Arial" w:eastAsia="Arial" w:hAnsi="Arial" w:cs="Arial"/>
          <w:color w:val="000000"/>
          <w:sz w:val="22"/>
          <w:szCs w:val="22"/>
          <w:lang w:val="en-US" w:eastAsia="en-US"/>
        </w:rPr>
        <w:t>Catharines</w:t>
      </w:r>
      <w:proofErr w:type="spellEnd"/>
      <w:r w:rsidRPr="00E133D3">
        <w:rPr>
          <w:rFonts w:ascii="Arial" w:eastAsia="Arial" w:hAnsi="Arial" w:cs="Arial"/>
          <w:color w:val="000000"/>
          <w:sz w:val="22"/>
          <w:szCs w:val="22"/>
          <w:lang w:val="en-US" w:eastAsia="en-US"/>
        </w:rPr>
        <w:t xml:space="preserve"> Milling and Lumber Company, </w:t>
      </w:r>
      <w:r w:rsidRPr="00E133D3">
        <w:rPr>
          <w:rFonts w:ascii="Arial" w:eastAsia="Arial" w:hAnsi="Arial" w:cs="Arial"/>
          <w:i/>
          <w:color w:val="000000"/>
          <w:sz w:val="22"/>
          <w:szCs w:val="22"/>
          <w:lang w:val="en-US" w:eastAsia="en-US"/>
        </w:rPr>
        <w:t xml:space="preserve">(Defendants) </w:t>
      </w:r>
      <w:proofErr w:type="gramStart"/>
      <w:r w:rsidRPr="00E133D3">
        <w:rPr>
          <w:rFonts w:ascii="Arial" w:eastAsia="Arial" w:hAnsi="Arial" w:cs="Arial"/>
          <w:i/>
          <w:color w:val="000000"/>
          <w:sz w:val="22"/>
          <w:szCs w:val="22"/>
          <w:lang w:val="en-US" w:eastAsia="en-US"/>
        </w:rPr>
        <w:t>Appellants;</w:t>
      </w:r>
      <w:proofErr w:type="gramEnd"/>
    </w:p>
    <w:p w14:paraId="7D0568AC" w14:textId="77777777" w:rsidR="00E133D3" w:rsidRPr="00E133D3" w:rsidRDefault="00E133D3" w:rsidP="00E133D3">
      <w:pPr>
        <w:pBdr>
          <w:top w:val="nil"/>
          <w:left w:val="nil"/>
          <w:bottom w:val="nil"/>
          <w:right w:val="nil"/>
          <w:between w:val="nil"/>
        </w:pBdr>
        <w:rPr>
          <w:rFonts w:ascii="Arial" w:eastAsia="Arial" w:hAnsi="Arial" w:cs="Arial"/>
          <w:color w:val="000000"/>
          <w:sz w:val="22"/>
          <w:szCs w:val="22"/>
          <w:lang w:val="en-US" w:eastAsia="en-US"/>
        </w:rPr>
      </w:pPr>
      <w:r w:rsidRPr="00E133D3">
        <w:rPr>
          <w:rFonts w:ascii="Arial" w:eastAsia="Arial" w:hAnsi="Arial" w:cs="Arial"/>
          <w:color w:val="000000"/>
          <w:sz w:val="22"/>
          <w:szCs w:val="22"/>
          <w:lang w:val="en-US" w:eastAsia="en-US"/>
        </w:rPr>
        <w:t>and</w:t>
      </w:r>
    </w:p>
    <w:p w14:paraId="538D8FBC" w14:textId="77777777" w:rsidR="00E133D3" w:rsidRPr="00E133D3" w:rsidRDefault="00E133D3" w:rsidP="00E133D3">
      <w:pPr>
        <w:pBdr>
          <w:top w:val="nil"/>
          <w:left w:val="nil"/>
          <w:bottom w:val="nil"/>
          <w:right w:val="nil"/>
          <w:between w:val="nil"/>
        </w:pBdr>
        <w:rPr>
          <w:rFonts w:ascii="Arial" w:eastAsia="Arial" w:hAnsi="Arial" w:cs="Arial"/>
          <w:color w:val="000000"/>
          <w:sz w:val="22"/>
          <w:szCs w:val="22"/>
          <w:lang w:val="en-US" w:eastAsia="en-US"/>
        </w:rPr>
      </w:pPr>
      <w:r w:rsidRPr="00E133D3">
        <w:rPr>
          <w:rFonts w:ascii="Arial" w:eastAsia="Arial" w:hAnsi="Arial" w:cs="Arial"/>
          <w:color w:val="000000"/>
          <w:sz w:val="22"/>
          <w:szCs w:val="22"/>
          <w:lang w:val="en-US" w:eastAsia="en-US"/>
        </w:rPr>
        <w:t>The Queen, on the Information of the Attorney General for the Province of Ontario, </w:t>
      </w:r>
      <w:r w:rsidRPr="00E133D3">
        <w:rPr>
          <w:rFonts w:ascii="Arial" w:eastAsia="Arial" w:hAnsi="Arial" w:cs="Arial"/>
          <w:i/>
          <w:color w:val="000000"/>
          <w:sz w:val="22"/>
          <w:szCs w:val="22"/>
          <w:lang w:val="en-US" w:eastAsia="en-US"/>
        </w:rPr>
        <w:t>(Plaintiff) Respondent.</w:t>
      </w:r>
    </w:p>
    <w:p w14:paraId="78D005DF" w14:textId="77777777" w:rsidR="00E133D3" w:rsidRPr="00E133D3" w:rsidRDefault="00E133D3" w:rsidP="00E133D3">
      <w:pPr>
        <w:pBdr>
          <w:top w:val="nil"/>
          <w:left w:val="nil"/>
          <w:bottom w:val="nil"/>
          <w:right w:val="nil"/>
          <w:between w:val="nil"/>
        </w:pBdr>
        <w:rPr>
          <w:rFonts w:ascii="Arial" w:eastAsia="Arial" w:hAnsi="Arial" w:cs="Arial"/>
          <w:color w:val="000000"/>
          <w:sz w:val="22"/>
          <w:szCs w:val="22"/>
          <w:lang w:val="en-US" w:eastAsia="en-US"/>
        </w:rPr>
      </w:pPr>
      <w:r w:rsidRPr="00E133D3">
        <w:rPr>
          <w:rFonts w:ascii="Arial" w:eastAsia="Arial" w:hAnsi="Arial" w:cs="Arial"/>
          <w:color w:val="000000"/>
          <w:sz w:val="22"/>
          <w:szCs w:val="22"/>
          <w:lang w:val="en-US" w:eastAsia="en-US"/>
        </w:rPr>
        <w:t>1886: November 19, 20 &amp; 22; 1887: June 20.</w:t>
      </w:r>
    </w:p>
    <w:p w14:paraId="5F7E2F66" w14:textId="77777777" w:rsidR="00E133D3" w:rsidRPr="00E133D3" w:rsidRDefault="00E133D3" w:rsidP="00E133D3">
      <w:pPr>
        <w:pBdr>
          <w:top w:val="nil"/>
          <w:left w:val="nil"/>
          <w:bottom w:val="nil"/>
          <w:right w:val="nil"/>
          <w:between w:val="nil"/>
        </w:pBdr>
        <w:rPr>
          <w:rFonts w:ascii="Arial" w:eastAsia="Arial" w:hAnsi="Arial" w:cs="Arial"/>
          <w:color w:val="000000"/>
          <w:sz w:val="22"/>
          <w:szCs w:val="22"/>
          <w:lang w:val="en-US" w:eastAsia="en-US"/>
        </w:rPr>
      </w:pPr>
      <w:r w:rsidRPr="00E133D3">
        <w:rPr>
          <w:rFonts w:ascii="Arial" w:eastAsia="Arial" w:hAnsi="Arial" w:cs="Arial"/>
          <w:color w:val="000000"/>
          <w:sz w:val="22"/>
          <w:szCs w:val="22"/>
          <w:lang w:val="en-US" w:eastAsia="en-US"/>
        </w:rPr>
        <w:t xml:space="preserve">Present: Sir W.J. Ritchie C.J. and Strong, Fournier, Henry </w:t>
      </w:r>
      <w:proofErr w:type="spellStart"/>
      <w:r w:rsidRPr="00E133D3">
        <w:rPr>
          <w:rFonts w:ascii="Arial" w:eastAsia="Arial" w:hAnsi="Arial" w:cs="Arial"/>
          <w:color w:val="000000"/>
          <w:sz w:val="22"/>
          <w:szCs w:val="22"/>
          <w:lang w:val="en-US" w:eastAsia="en-US"/>
        </w:rPr>
        <w:t>Taschereau</w:t>
      </w:r>
      <w:proofErr w:type="spellEnd"/>
      <w:r w:rsidRPr="00E133D3">
        <w:rPr>
          <w:rFonts w:ascii="Arial" w:eastAsia="Arial" w:hAnsi="Arial" w:cs="Arial"/>
          <w:color w:val="000000"/>
          <w:sz w:val="22"/>
          <w:szCs w:val="22"/>
          <w:lang w:val="en-US" w:eastAsia="en-US"/>
        </w:rPr>
        <w:t xml:space="preserve"> and Gwynne JJ.</w:t>
      </w:r>
    </w:p>
    <w:p w14:paraId="06ED51C5" w14:textId="77777777" w:rsidR="00E133D3" w:rsidRPr="00E133D3" w:rsidRDefault="00E133D3" w:rsidP="00E133D3">
      <w:pPr>
        <w:pBdr>
          <w:top w:val="nil"/>
          <w:left w:val="nil"/>
          <w:bottom w:val="nil"/>
          <w:right w:val="nil"/>
          <w:between w:val="nil"/>
        </w:pBdr>
        <w:rPr>
          <w:rFonts w:ascii="Arial" w:eastAsia="Arial" w:hAnsi="Arial" w:cs="Arial"/>
          <w:color w:val="000000"/>
          <w:sz w:val="22"/>
          <w:szCs w:val="22"/>
          <w:lang w:val="en-US" w:eastAsia="en-US"/>
        </w:rPr>
      </w:pPr>
    </w:p>
    <w:p w14:paraId="5966B3C1" w14:textId="77777777" w:rsidR="00E133D3" w:rsidRPr="00E133D3" w:rsidRDefault="00E133D3" w:rsidP="00E133D3">
      <w:pPr>
        <w:pBdr>
          <w:top w:val="nil"/>
          <w:left w:val="nil"/>
          <w:bottom w:val="nil"/>
          <w:right w:val="nil"/>
          <w:between w:val="nil"/>
        </w:pBdr>
        <w:rPr>
          <w:rFonts w:ascii="Arial" w:eastAsia="Arial" w:hAnsi="Arial" w:cs="Arial"/>
          <w:color w:val="000000"/>
          <w:sz w:val="22"/>
          <w:szCs w:val="22"/>
          <w:lang w:val="en-US" w:eastAsia="en-US"/>
        </w:rPr>
      </w:pPr>
      <w:r w:rsidRPr="00E133D3">
        <w:rPr>
          <w:rFonts w:ascii="Arial" w:eastAsia="Arial" w:hAnsi="Arial" w:cs="Arial"/>
          <w:color w:val="000000"/>
          <w:sz w:val="22"/>
          <w:szCs w:val="22"/>
          <w:lang w:val="en-US" w:eastAsia="en-US"/>
        </w:rPr>
        <w:t>ON APPEAL FROM THE COURT OF APPEAL FOR ONTARIO.</w:t>
      </w:r>
    </w:p>
    <w:p w14:paraId="540ACE00" w14:textId="77777777" w:rsidR="00E133D3" w:rsidRPr="00E133D3" w:rsidRDefault="00E133D3" w:rsidP="00E133D3">
      <w:pPr>
        <w:pBdr>
          <w:top w:val="nil"/>
          <w:left w:val="nil"/>
          <w:bottom w:val="nil"/>
          <w:right w:val="nil"/>
          <w:between w:val="nil"/>
        </w:pBdr>
        <w:rPr>
          <w:rFonts w:ascii="Arial" w:eastAsia="Arial" w:hAnsi="Arial" w:cs="Arial"/>
          <w:i/>
          <w:color w:val="000000"/>
          <w:sz w:val="22"/>
          <w:szCs w:val="22"/>
          <w:lang w:val="en-US" w:eastAsia="en-US"/>
        </w:rPr>
      </w:pPr>
    </w:p>
    <w:p w14:paraId="3D8DBC81" w14:textId="77777777" w:rsidR="00E133D3" w:rsidRPr="00E133D3" w:rsidRDefault="00E133D3" w:rsidP="00E133D3">
      <w:pPr>
        <w:pBdr>
          <w:top w:val="nil"/>
          <w:left w:val="nil"/>
          <w:bottom w:val="nil"/>
          <w:right w:val="nil"/>
          <w:between w:val="nil"/>
        </w:pBdr>
        <w:rPr>
          <w:rFonts w:ascii="Arial" w:eastAsia="Arial" w:hAnsi="Arial" w:cs="Arial"/>
          <w:i/>
          <w:color w:val="000000"/>
          <w:sz w:val="22"/>
          <w:szCs w:val="22"/>
          <w:lang w:val="en-US" w:eastAsia="en-US"/>
        </w:rPr>
      </w:pPr>
      <w:r w:rsidRPr="00E133D3">
        <w:rPr>
          <w:rFonts w:ascii="Arial" w:eastAsia="Arial" w:hAnsi="Arial" w:cs="Arial"/>
          <w:i/>
          <w:color w:val="000000"/>
          <w:sz w:val="22"/>
          <w:szCs w:val="22"/>
          <w:lang w:val="en-US" w:eastAsia="en-US"/>
        </w:rPr>
        <w:t xml:space="preserve">Indian Lands—Title to—Right of Occupancy—Lands reserved for Indians—B.N.A. Act sec. 91, </w:t>
      </w:r>
      <w:proofErr w:type="spellStart"/>
      <w:r w:rsidRPr="00E133D3">
        <w:rPr>
          <w:rFonts w:ascii="Arial" w:eastAsia="Arial" w:hAnsi="Arial" w:cs="Arial"/>
          <w:i/>
          <w:color w:val="000000"/>
          <w:sz w:val="22"/>
          <w:szCs w:val="22"/>
          <w:lang w:val="en-US" w:eastAsia="en-US"/>
        </w:rPr>
        <w:t>subsec</w:t>
      </w:r>
      <w:proofErr w:type="spellEnd"/>
      <w:r w:rsidRPr="00E133D3">
        <w:rPr>
          <w:rFonts w:ascii="Arial" w:eastAsia="Arial" w:hAnsi="Arial" w:cs="Arial"/>
          <w:i/>
          <w:color w:val="000000"/>
          <w:sz w:val="22"/>
          <w:szCs w:val="22"/>
          <w:lang w:val="en-US" w:eastAsia="en-US"/>
        </w:rPr>
        <w:t xml:space="preserve">. 24—Sec. 92, </w:t>
      </w:r>
      <w:proofErr w:type="spellStart"/>
      <w:r w:rsidRPr="00E133D3">
        <w:rPr>
          <w:rFonts w:ascii="Arial" w:eastAsia="Arial" w:hAnsi="Arial" w:cs="Arial"/>
          <w:i/>
          <w:color w:val="000000"/>
          <w:sz w:val="22"/>
          <w:szCs w:val="22"/>
          <w:lang w:val="en-US" w:eastAsia="en-US"/>
        </w:rPr>
        <w:t>subsec</w:t>
      </w:r>
      <w:proofErr w:type="spellEnd"/>
      <w:r w:rsidRPr="00E133D3">
        <w:rPr>
          <w:rFonts w:ascii="Arial" w:eastAsia="Arial" w:hAnsi="Arial" w:cs="Arial"/>
          <w:i/>
          <w:color w:val="000000"/>
          <w:sz w:val="22"/>
          <w:szCs w:val="22"/>
          <w:lang w:val="en-US" w:eastAsia="en-US"/>
        </w:rPr>
        <w:t>. 5—Secs. 109, 117.</w:t>
      </w:r>
    </w:p>
    <w:p w14:paraId="018566ED" w14:textId="77777777" w:rsidR="00E133D3" w:rsidRPr="00E133D3" w:rsidRDefault="00E133D3" w:rsidP="00E133D3">
      <w:pPr>
        <w:pBdr>
          <w:top w:val="nil"/>
          <w:left w:val="nil"/>
          <w:bottom w:val="nil"/>
          <w:right w:val="nil"/>
          <w:between w:val="nil"/>
        </w:pBdr>
        <w:spacing w:after="99"/>
        <w:ind w:firstLine="561"/>
        <w:rPr>
          <w:rFonts w:ascii="Arial" w:eastAsia="Arial" w:hAnsi="Arial" w:cs="Arial"/>
          <w:color w:val="000000"/>
          <w:sz w:val="22"/>
          <w:szCs w:val="22"/>
          <w:lang w:val="en-US" w:eastAsia="en-US"/>
        </w:rPr>
      </w:pPr>
      <w:bookmarkStart w:id="2" w:name="_heading=h.1fob9te" w:colFirst="0" w:colLast="0"/>
      <w:bookmarkEnd w:id="2"/>
      <w:r w:rsidRPr="00E133D3">
        <w:rPr>
          <w:rFonts w:ascii="Arial" w:eastAsia="Arial" w:hAnsi="Arial" w:cs="Arial"/>
          <w:color w:val="000000"/>
          <w:sz w:val="22"/>
          <w:szCs w:val="22"/>
          <w:lang w:val="en-US" w:eastAsia="en-US"/>
        </w:rPr>
        <w:t>The lands within the boundary of Ontario in which the claims or rights of occupancy of the Indians were surrendered or became extinguished by the Dominion Treaty of 1873, known as the North West Angle Treaty, No. 3, form part of the public domain of Ontario and are public lands belonging to Ontario by virtue of the provisions of the British North America Act</w:t>
      </w:r>
      <w:hyperlink r:id="rId15" w:anchor="_ftn1">
        <w:r w:rsidRPr="00E133D3">
          <w:rPr>
            <w:rFonts w:ascii="Arial" w:eastAsia="Arial" w:hAnsi="Arial" w:cs="Arial"/>
            <w:color w:val="027ABB"/>
            <w:sz w:val="22"/>
            <w:szCs w:val="22"/>
            <w:vertAlign w:val="superscript"/>
            <w:lang w:val="en-US" w:eastAsia="en-US"/>
          </w:rPr>
          <w:t>[1]</w:t>
        </w:r>
      </w:hyperlink>
      <w:r w:rsidRPr="00E133D3">
        <w:rPr>
          <w:rFonts w:ascii="Arial" w:eastAsia="Arial" w:hAnsi="Arial" w:cs="Arial"/>
          <w:color w:val="000000"/>
          <w:sz w:val="22"/>
          <w:szCs w:val="22"/>
          <w:lang w:val="en-US" w:eastAsia="en-US"/>
        </w:rPr>
        <w:t>.</w:t>
      </w:r>
    </w:p>
    <w:p w14:paraId="75CA3F34" w14:textId="77777777" w:rsidR="00E133D3" w:rsidRPr="00E133D3" w:rsidRDefault="00E133D3" w:rsidP="00E133D3">
      <w:pPr>
        <w:pBdr>
          <w:top w:val="nil"/>
          <w:left w:val="nil"/>
          <w:bottom w:val="nil"/>
          <w:right w:val="nil"/>
          <w:between w:val="nil"/>
        </w:pBdr>
        <w:spacing w:after="99"/>
        <w:ind w:firstLine="561"/>
        <w:rPr>
          <w:rFonts w:ascii="Arial" w:eastAsia="Arial" w:hAnsi="Arial" w:cs="Arial"/>
          <w:color w:val="000000"/>
          <w:sz w:val="22"/>
          <w:szCs w:val="22"/>
          <w:lang w:val="en-US" w:eastAsia="en-US"/>
        </w:rPr>
      </w:pPr>
      <w:r w:rsidRPr="00E133D3">
        <w:rPr>
          <w:rFonts w:ascii="Arial" w:eastAsia="Arial" w:hAnsi="Arial" w:cs="Arial"/>
          <w:color w:val="000000"/>
          <w:sz w:val="22"/>
          <w:szCs w:val="22"/>
          <w:lang w:val="en-US" w:eastAsia="en-US"/>
        </w:rPr>
        <w:t>Only lands specifically set apart and reserved for the use of the Indians are “lands reserved for Indians” within the meaning of</w:t>
      </w:r>
    </w:p>
    <w:p w14:paraId="6AE79511" w14:textId="77777777" w:rsidR="00E133D3" w:rsidRPr="00E133D3" w:rsidRDefault="00E133D3" w:rsidP="00E133D3">
      <w:pPr>
        <w:pBdr>
          <w:top w:val="nil"/>
          <w:left w:val="nil"/>
          <w:bottom w:val="nil"/>
          <w:right w:val="nil"/>
          <w:between w:val="nil"/>
        </w:pBdr>
        <w:spacing w:after="120"/>
        <w:rPr>
          <w:rFonts w:ascii="Arial" w:eastAsia="Arial" w:hAnsi="Arial" w:cs="Arial"/>
          <w:i/>
          <w:color w:val="000000"/>
          <w:sz w:val="22"/>
          <w:szCs w:val="22"/>
          <w:lang w:val="en-US" w:eastAsia="en-US"/>
        </w:rPr>
      </w:pPr>
      <w:r w:rsidRPr="00E133D3">
        <w:rPr>
          <w:rFonts w:ascii="Arial" w:eastAsia="Arial" w:hAnsi="Arial" w:cs="Arial"/>
          <w:i/>
          <w:color w:val="000000"/>
          <w:sz w:val="22"/>
          <w:szCs w:val="22"/>
          <w:lang w:val="en-US" w:eastAsia="en-US"/>
        </w:rPr>
        <w:lastRenderedPageBreak/>
        <w:t>[Page 578]</w:t>
      </w:r>
    </w:p>
    <w:p w14:paraId="514E9733" w14:textId="77777777" w:rsidR="00E133D3" w:rsidRPr="00E133D3" w:rsidRDefault="00E133D3" w:rsidP="00E133D3">
      <w:pPr>
        <w:pBdr>
          <w:top w:val="nil"/>
          <w:left w:val="nil"/>
          <w:bottom w:val="nil"/>
          <w:right w:val="nil"/>
          <w:between w:val="nil"/>
        </w:pBdr>
        <w:spacing w:after="99"/>
        <w:ind w:firstLine="561"/>
        <w:rPr>
          <w:rFonts w:ascii="Arial" w:eastAsia="Arial" w:hAnsi="Arial" w:cs="Arial"/>
          <w:color w:val="000000"/>
          <w:sz w:val="22"/>
          <w:szCs w:val="22"/>
          <w:lang w:val="en-US" w:eastAsia="en-US"/>
        </w:rPr>
      </w:pPr>
      <w:bookmarkStart w:id="3" w:name="_heading=h.3znysh7" w:colFirst="0" w:colLast="0"/>
      <w:bookmarkEnd w:id="3"/>
      <w:r w:rsidRPr="00E133D3">
        <w:rPr>
          <w:rFonts w:ascii="Arial" w:eastAsia="Arial" w:hAnsi="Arial" w:cs="Arial"/>
          <w:color w:val="000000"/>
          <w:sz w:val="22"/>
          <w:szCs w:val="22"/>
          <w:lang w:val="en-US" w:eastAsia="en-US"/>
        </w:rPr>
        <w:t>sec. 91, item 24 of the British North America Act</w:t>
      </w:r>
      <w:hyperlink r:id="rId16" w:anchor="_ftn2">
        <w:r w:rsidRPr="00E133D3">
          <w:rPr>
            <w:rFonts w:ascii="Arial" w:eastAsia="Arial" w:hAnsi="Arial" w:cs="Arial"/>
            <w:color w:val="027ABB"/>
            <w:sz w:val="22"/>
            <w:szCs w:val="22"/>
            <w:vertAlign w:val="superscript"/>
            <w:lang w:val="en-US" w:eastAsia="en-US"/>
          </w:rPr>
          <w:t>[2]</w:t>
        </w:r>
      </w:hyperlink>
      <w:r w:rsidRPr="00E133D3">
        <w:rPr>
          <w:rFonts w:ascii="Arial" w:eastAsia="Arial" w:hAnsi="Arial" w:cs="Arial"/>
          <w:color w:val="000000"/>
          <w:sz w:val="22"/>
          <w:szCs w:val="22"/>
          <w:lang w:val="en-US" w:eastAsia="en-US"/>
        </w:rPr>
        <w:t>Supreme Court of Canada.</w:t>
      </w:r>
    </w:p>
    <w:p w14:paraId="4F0B5A44" w14:textId="77777777" w:rsidR="00E133D3" w:rsidRPr="00E133D3" w:rsidRDefault="00E133D3" w:rsidP="00E133D3">
      <w:pPr>
        <w:pBdr>
          <w:top w:val="nil"/>
          <w:left w:val="nil"/>
          <w:bottom w:val="nil"/>
          <w:right w:val="nil"/>
          <w:between w:val="nil"/>
        </w:pBdr>
        <w:spacing w:after="99"/>
        <w:ind w:firstLine="561"/>
        <w:rPr>
          <w:rFonts w:ascii="Arial" w:eastAsia="Arial" w:hAnsi="Arial" w:cs="Arial"/>
          <w:color w:val="000000"/>
          <w:sz w:val="22"/>
          <w:szCs w:val="22"/>
          <w:lang w:val="en-US" w:eastAsia="en-US"/>
        </w:rPr>
      </w:pPr>
      <w:bookmarkStart w:id="4" w:name="_heading=h.2et92p0" w:colFirst="0" w:colLast="0"/>
      <w:bookmarkEnd w:id="4"/>
      <w:r w:rsidRPr="00E133D3">
        <w:rPr>
          <w:rFonts w:ascii="Arial" w:eastAsia="Arial" w:hAnsi="Arial" w:cs="Arial"/>
          <w:color w:val="000000"/>
          <w:sz w:val="22"/>
          <w:szCs w:val="22"/>
          <w:lang w:val="en-US" w:eastAsia="en-US"/>
        </w:rPr>
        <w:t>The judgment of Boyd C. in the Chancery Division of the High Court of Justice for Ontario</w:t>
      </w:r>
      <w:hyperlink r:id="rId17" w:anchor="_ftn3">
        <w:r w:rsidRPr="00E133D3">
          <w:rPr>
            <w:rFonts w:ascii="Arial" w:eastAsia="Arial" w:hAnsi="Arial" w:cs="Arial"/>
            <w:color w:val="027ABB"/>
            <w:sz w:val="22"/>
            <w:szCs w:val="22"/>
            <w:vertAlign w:val="superscript"/>
            <w:lang w:val="en-US" w:eastAsia="en-US"/>
          </w:rPr>
          <w:t>[3]</w:t>
        </w:r>
      </w:hyperlink>
      <w:r w:rsidRPr="00E133D3">
        <w:rPr>
          <w:rFonts w:ascii="Arial" w:eastAsia="Arial" w:hAnsi="Arial" w:cs="Arial"/>
          <w:color w:val="000000"/>
          <w:sz w:val="22"/>
          <w:szCs w:val="22"/>
          <w:lang w:val="en-US" w:eastAsia="en-US"/>
        </w:rPr>
        <w:t> and of the Court of Appeal for Ontario</w:t>
      </w:r>
      <w:hyperlink r:id="rId18" w:anchor="_ftn4">
        <w:r w:rsidRPr="00E133D3">
          <w:rPr>
            <w:rFonts w:ascii="Arial" w:eastAsia="Arial" w:hAnsi="Arial" w:cs="Arial"/>
            <w:color w:val="027ABB"/>
            <w:sz w:val="22"/>
            <w:szCs w:val="22"/>
            <w:vertAlign w:val="superscript"/>
            <w:lang w:val="en-US" w:eastAsia="en-US"/>
          </w:rPr>
          <w:t>[4]</w:t>
        </w:r>
      </w:hyperlink>
      <w:r w:rsidRPr="00E133D3">
        <w:rPr>
          <w:rFonts w:ascii="Arial" w:eastAsia="Arial" w:hAnsi="Arial" w:cs="Arial"/>
          <w:color w:val="000000"/>
          <w:sz w:val="22"/>
          <w:szCs w:val="22"/>
          <w:lang w:val="en-US" w:eastAsia="en-US"/>
        </w:rPr>
        <w:t> affirmed. Strong and Gwynne JJ. dissenting,</w:t>
      </w:r>
    </w:p>
    <w:p w14:paraId="0192BB46" w14:textId="77777777" w:rsidR="00E133D3" w:rsidRPr="00E133D3" w:rsidRDefault="00E133D3" w:rsidP="00E133D3">
      <w:pPr>
        <w:pBdr>
          <w:top w:val="nil"/>
          <w:left w:val="nil"/>
          <w:bottom w:val="nil"/>
          <w:right w:val="nil"/>
          <w:between w:val="nil"/>
        </w:pBdr>
        <w:spacing w:after="99"/>
        <w:ind w:firstLine="566"/>
        <w:rPr>
          <w:rFonts w:ascii="Arial" w:eastAsia="Arial" w:hAnsi="Arial" w:cs="Arial"/>
          <w:color w:val="000000"/>
          <w:sz w:val="22"/>
          <w:szCs w:val="22"/>
          <w:lang w:val="en-US" w:eastAsia="en-US"/>
        </w:rPr>
      </w:pPr>
      <w:r w:rsidRPr="00E133D3">
        <w:rPr>
          <w:rFonts w:ascii="Arial" w:eastAsia="Arial" w:hAnsi="Arial" w:cs="Arial"/>
          <w:color w:val="000000"/>
          <w:sz w:val="22"/>
          <w:szCs w:val="22"/>
          <w:lang w:val="en-US" w:eastAsia="en-US"/>
        </w:rPr>
        <w:t>APPEAL from a decision of the Court of Appeal for Ontario</w:t>
      </w:r>
      <w:r w:rsidRPr="00E133D3">
        <w:rPr>
          <w:rFonts w:ascii="Arial" w:eastAsia="Arial" w:hAnsi="Arial" w:cs="Arial"/>
          <w:color w:val="000000"/>
          <w:sz w:val="22"/>
          <w:szCs w:val="22"/>
          <w:vertAlign w:val="superscript"/>
          <w:lang w:val="en-US" w:eastAsia="en-US"/>
        </w:rPr>
        <w:t>4</w:t>
      </w:r>
      <w:r w:rsidRPr="00E133D3">
        <w:rPr>
          <w:rFonts w:ascii="Arial" w:eastAsia="Arial" w:hAnsi="Arial" w:cs="Arial"/>
          <w:color w:val="000000"/>
          <w:sz w:val="22"/>
          <w:szCs w:val="22"/>
          <w:lang w:val="en-US" w:eastAsia="en-US"/>
        </w:rPr>
        <w:t>, affirming the judgment of the Chancery Division</w:t>
      </w:r>
      <w:r w:rsidRPr="00E133D3">
        <w:rPr>
          <w:rFonts w:ascii="Arial" w:eastAsia="Arial" w:hAnsi="Arial" w:cs="Arial"/>
          <w:color w:val="000000"/>
          <w:sz w:val="22"/>
          <w:szCs w:val="22"/>
          <w:vertAlign w:val="superscript"/>
          <w:lang w:val="en-US" w:eastAsia="en-US"/>
        </w:rPr>
        <w:t>3</w:t>
      </w:r>
      <w:r w:rsidRPr="00E133D3">
        <w:rPr>
          <w:rFonts w:ascii="Arial" w:eastAsia="Arial" w:hAnsi="Arial" w:cs="Arial"/>
          <w:color w:val="000000"/>
          <w:sz w:val="22"/>
          <w:szCs w:val="22"/>
          <w:lang w:val="en-US" w:eastAsia="en-US"/>
        </w:rPr>
        <w:t xml:space="preserve">, which restrained the defendants from cutting timber on lands in Ontario claimed to be public lands of the </w:t>
      </w:r>
      <w:proofErr w:type="gramStart"/>
      <w:r w:rsidRPr="00E133D3">
        <w:rPr>
          <w:rFonts w:ascii="Arial" w:eastAsia="Arial" w:hAnsi="Arial" w:cs="Arial"/>
          <w:color w:val="000000"/>
          <w:sz w:val="22"/>
          <w:szCs w:val="22"/>
          <w:lang w:val="en-US" w:eastAsia="en-US"/>
        </w:rPr>
        <w:t>Province</w:t>
      </w:r>
      <w:proofErr w:type="gramEnd"/>
      <w:r w:rsidRPr="00E133D3">
        <w:rPr>
          <w:rFonts w:ascii="Arial" w:eastAsia="Arial" w:hAnsi="Arial" w:cs="Arial"/>
          <w:color w:val="000000"/>
          <w:sz w:val="22"/>
          <w:szCs w:val="22"/>
          <w:lang w:val="en-US" w:eastAsia="en-US"/>
        </w:rPr>
        <w:t>.</w:t>
      </w:r>
    </w:p>
    <w:p w14:paraId="7527145D" w14:textId="77777777" w:rsidR="00E133D3" w:rsidRPr="00E133D3" w:rsidRDefault="00E133D3" w:rsidP="00E133D3">
      <w:pPr>
        <w:spacing w:after="160"/>
        <w:rPr>
          <w:rFonts w:ascii="Arial" w:eastAsia="Arial" w:hAnsi="Arial" w:cs="Arial"/>
          <w:color w:val="FF0000"/>
          <w:sz w:val="22"/>
          <w:szCs w:val="22"/>
          <w:lang w:val="en-US" w:eastAsia="en-US"/>
        </w:rPr>
      </w:pPr>
    </w:p>
    <w:p w14:paraId="77452CDE" w14:textId="77777777" w:rsidR="00E133D3" w:rsidRPr="00E133D3" w:rsidRDefault="00E133D3" w:rsidP="00E133D3">
      <w:pPr>
        <w:spacing w:after="80"/>
        <w:rPr>
          <w:rFonts w:ascii="Arial" w:eastAsia="Arial" w:hAnsi="Arial" w:cs="Arial"/>
          <w:sz w:val="22"/>
          <w:szCs w:val="22"/>
          <w:lang w:val="en-US" w:eastAsia="en-US"/>
        </w:rPr>
      </w:pPr>
      <w:r w:rsidRPr="00E133D3">
        <w:rPr>
          <w:rFonts w:ascii="Arial" w:eastAsia="Arial" w:hAnsi="Arial" w:cs="Arial"/>
          <w:color w:val="FF0000"/>
          <w:sz w:val="22"/>
          <w:szCs w:val="22"/>
          <w:lang w:val="en-US" w:eastAsia="en-US"/>
        </w:rPr>
        <w:t xml:space="preserve">See also: </w:t>
      </w:r>
      <w:r w:rsidRPr="00E133D3">
        <w:rPr>
          <w:rFonts w:ascii="Arial" w:eastAsia="Arial" w:hAnsi="Arial" w:cs="Arial"/>
          <w:sz w:val="22"/>
          <w:szCs w:val="22"/>
          <w:lang w:val="en-US" w:eastAsia="en-US"/>
        </w:rPr>
        <w:t xml:space="preserve">St </w:t>
      </w:r>
      <w:proofErr w:type="spellStart"/>
      <w:r w:rsidRPr="00E133D3">
        <w:rPr>
          <w:rFonts w:ascii="Arial" w:eastAsia="Arial" w:hAnsi="Arial" w:cs="Arial"/>
          <w:sz w:val="22"/>
          <w:szCs w:val="22"/>
          <w:lang w:val="en-US" w:eastAsia="en-US"/>
        </w:rPr>
        <w:t>Catherines</w:t>
      </w:r>
      <w:proofErr w:type="spellEnd"/>
      <w:r w:rsidRPr="00E133D3">
        <w:rPr>
          <w:rFonts w:ascii="Arial" w:eastAsia="Arial" w:hAnsi="Arial" w:cs="Arial"/>
          <w:sz w:val="22"/>
          <w:szCs w:val="22"/>
          <w:lang w:val="en-US" w:eastAsia="en-US"/>
        </w:rPr>
        <w:t xml:space="preserve"> Milling Case excerpt from Henderson, B. "A Brief Introduction to Aboriginal Law in Canada." Bloorstreet.com. January 15, 1996. </w:t>
      </w:r>
      <w:hyperlink r:id="rId19">
        <w:r w:rsidRPr="00E133D3">
          <w:rPr>
            <w:rFonts w:ascii="Arial" w:eastAsia="Arial" w:hAnsi="Arial" w:cs="Arial"/>
            <w:color w:val="0000FF"/>
            <w:sz w:val="22"/>
            <w:szCs w:val="22"/>
            <w:u w:val="single"/>
            <w:lang w:val="en-US" w:eastAsia="en-US"/>
          </w:rPr>
          <w:t>http://www.bloorstreet.com/200block/brintro.htm</w:t>
        </w:r>
      </w:hyperlink>
      <w:r w:rsidRPr="00E133D3">
        <w:rPr>
          <w:rFonts w:ascii="Arial" w:eastAsia="Arial" w:hAnsi="Arial" w:cs="Arial"/>
          <w:color w:val="FF0000"/>
          <w:sz w:val="22"/>
          <w:szCs w:val="22"/>
          <w:lang w:val="en-US" w:eastAsia="en-US"/>
        </w:rPr>
        <w:t>.</w:t>
      </w:r>
    </w:p>
    <w:p w14:paraId="33D73A68" w14:textId="77777777" w:rsidR="00E133D3" w:rsidRPr="00E133D3" w:rsidRDefault="00E133D3" w:rsidP="00E133D3">
      <w:pPr>
        <w:spacing w:after="80"/>
        <w:rPr>
          <w:rFonts w:ascii="Arial" w:eastAsia="Arial" w:hAnsi="Arial" w:cs="Arial"/>
          <w:lang w:val="en-US" w:eastAsia="en-US"/>
        </w:rPr>
      </w:pPr>
    </w:p>
    <w:tbl>
      <w:tblPr>
        <w:tblW w:w="100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2"/>
        <w:gridCol w:w="5113"/>
      </w:tblGrid>
      <w:tr w:rsidR="00E133D3" w:rsidRPr="00E133D3" w14:paraId="79394A28" w14:textId="77777777" w:rsidTr="00D031BF">
        <w:trPr>
          <w:trHeight w:val="826"/>
        </w:trPr>
        <w:tc>
          <w:tcPr>
            <w:tcW w:w="4962" w:type="dxa"/>
          </w:tcPr>
          <w:p w14:paraId="62E88810" w14:textId="77777777" w:rsidR="00E133D3" w:rsidRPr="00E133D3" w:rsidRDefault="00E133D3" w:rsidP="00E133D3">
            <w:pPr>
              <w:rPr>
                <w:rFonts w:ascii="Arial" w:eastAsia="Arial" w:hAnsi="Arial" w:cs="Arial"/>
                <w:b/>
                <w:lang w:val="en-US" w:eastAsia="en-US"/>
              </w:rPr>
            </w:pPr>
            <w:r w:rsidRPr="00E133D3">
              <w:rPr>
                <w:rFonts w:ascii="Arial" w:eastAsia="Arial" w:hAnsi="Arial" w:cs="Arial"/>
                <w:b/>
                <w:lang w:val="en-US" w:eastAsia="en-US"/>
              </w:rPr>
              <w:t>What?</w:t>
            </w:r>
          </w:p>
          <w:p w14:paraId="0DB8B751" w14:textId="77777777" w:rsidR="00E133D3" w:rsidRPr="00E133D3" w:rsidRDefault="00E133D3" w:rsidP="00E133D3">
            <w:pPr>
              <w:rPr>
                <w:rFonts w:ascii="Arial" w:eastAsia="Arial" w:hAnsi="Arial" w:cs="Arial"/>
                <w:lang w:val="en-US" w:eastAsia="en-US"/>
              </w:rPr>
            </w:pPr>
            <w:r w:rsidRPr="00E133D3">
              <w:rPr>
                <w:rFonts w:ascii="Arial" w:eastAsia="Arial" w:hAnsi="Arial" w:cs="Arial"/>
                <w:lang w:val="en-US" w:eastAsia="en-US"/>
              </w:rPr>
              <w:t>•</w:t>
            </w:r>
            <w:r w:rsidRPr="00E133D3">
              <w:rPr>
                <w:rFonts w:ascii="Arial" w:eastAsia="Arial" w:hAnsi="Arial" w:cs="Arial"/>
                <w:lang w:val="en-US" w:eastAsia="en-US"/>
              </w:rPr>
              <w:tab/>
              <w:t>What is the issue?</w:t>
            </w:r>
          </w:p>
          <w:p w14:paraId="025D4851" w14:textId="77777777" w:rsidR="00E133D3" w:rsidRPr="00E133D3" w:rsidRDefault="00E133D3" w:rsidP="00E133D3">
            <w:pPr>
              <w:rPr>
                <w:rFonts w:ascii="Arial" w:eastAsia="Arial" w:hAnsi="Arial" w:cs="Arial"/>
                <w:lang w:val="en-US" w:eastAsia="en-US"/>
              </w:rPr>
            </w:pPr>
          </w:p>
          <w:p w14:paraId="4FABED25" w14:textId="77777777" w:rsidR="00E133D3" w:rsidRPr="00E133D3" w:rsidRDefault="00E133D3" w:rsidP="00E133D3">
            <w:pPr>
              <w:rPr>
                <w:rFonts w:ascii="Arial" w:eastAsia="Arial" w:hAnsi="Arial" w:cs="Arial"/>
                <w:lang w:val="en-US" w:eastAsia="en-US"/>
              </w:rPr>
            </w:pPr>
          </w:p>
        </w:tc>
        <w:tc>
          <w:tcPr>
            <w:tcW w:w="5113" w:type="dxa"/>
          </w:tcPr>
          <w:p w14:paraId="11B5743F" w14:textId="77777777" w:rsidR="00E133D3" w:rsidRPr="00E133D3" w:rsidRDefault="00E133D3" w:rsidP="00E133D3">
            <w:pPr>
              <w:rPr>
                <w:rFonts w:ascii="Arial" w:eastAsia="Arial" w:hAnsi="Arial" w:cs="Arial"/>
                <w:lang w:val="en-US" w:eastAsia="en-US"/>
              </w:rPr>
            </w:pPr>
          </w:p>
        </w:tc>
      </w:tr>
      <w:tr w:rsidR="00E133D3" w:rsidRPr="00E133D3" w14:paraId="35482F8E" w14:textId="77777777" w:rsidTr="00D031BF">
        <w:trPr>
          <w:trHeight w:val="826"/>
        </w:trPr>
        <w:tc>
          <w:tcPr>
            <w:tcW w:w="4962" w:type="dxa"/>
          </w:tcPr>
          <w:p w14:paraId="25DEE65B" w14:textId="77777777" w:rsidR="00E133D3" w:rsidRPr="00E133D3" w:rsidRDefault="00E133D3" w:rsidP="00E133D3">
            <w:pPr>
              <w:rPr>
                <w:rFonts w:ascii="Arial" w:eastAsia="Arial" w:hAnsi="Arial" w:cs="Arial"/>
                <w:b/>
                <w:lang w:val="en-US" w:eastAsia="en-US"/>
              </w:rPr>
            </w:pPr>
            <w:r w:rsidRPr="00E133D3">
              <w:rPr>
                <w:rFonts w:ascii="Arial" w:eastAsia="Arial" w:hAnsi="Arial" w:cs="Arial"/>
                <w:b/>
                <w:lang w:val="en-US" w:eastAsia="en-US"/>
              </w:rPr>
              <w:t>Who?</w:t>
            </w:r>
          </w:p>
          <w:p w14:paraId="7337F46B" w14:textId="77777777" w:rsidR="00E133D3" w:rsidRPr="00E133D3" w:rsidRDefault="00E133D3" w:rsidP="00E133D3">
            <w:pPr>
              <w:rPr>
                <w:rFonts w:ascii="Arial" w:eastAsia="Arial" w:hAnsi="Arial" w:cs="Arial"/>
                <w:lang w:val="en-US" w:eastAsia="en-US"/>
              </w:rPr>
            </w:pPr>
            <w:r w:rsidRPr="00E133D3">
              <w:rPr>
                <w:rFonts w:ascii="Arial" w:eastAsia="Arial" w:hAnsi="Arial" w:cs="Arial"/>
                <w:lang w:val="en-US" w:eastAsia="en-US"/>
              </w:rPr>
              <w:t>•</w:t>
            </w:r>
            <w:r w:rsidRPr="00E133D3">
              <w:rPr>
                <w:rFonts w:ascii="Arial" w:eastAsia="Arial" w:hAnsi="Arial" w:cs="Arial"/>
                <w:lang w:val="en-US" w:eastAsia="en-US"/>
              </w:rPr>
              <w:tab/>
              <w:t>Who decided the decision?</w:t>
            </w:r>
          </w:p>
          <w:p w14:paraId="44A89206" w14:textId="77777777" w:rsidR="00E133D3" w:rsidRPr="00E133D3" w:rsidRDefault="00E133D3" w:rsidP="00E133D3">
            <w:pPr>
              <w:rPr>
                <w:rFonts w:ascii="Arial" w:eastAsia="Arial" w:hAnsi="Arial" w:cs="Arial"/>
                <w:lang w:val="en-US" w:eastAsia="en-US"/>
              </w:rPr>
            </w:pPr>
            <w:r w:rsidRPr="00E133D3">
              <w:rPr>
                <w:rFonts w:ascii="Arial" w:eastAsia="Arial" w:hAnsi="Arial" w:cs="Arial"/>
                <w:lang w:val="en-US" w:eastAsia="en-US"/>
              </w:rPr>
              <w:tab/>
            </w:r>
          </w:p>
          <w:p w14:paraId="11F6D26A" w14:textId="77777777" w:rsidR="00E133D3" w:rsidRPr="00E133D3" w:rsidRDefault="00E133D3" w:rsidP="00E133D3">
            <w:pPr>
              <w:rPr>
                <w:rFonts w:ascii="Arial" w:eastAsia="Arial" w:hAnsi="Arial" w:cs="Arial"/>
                <w:lang w:val="en-US" w:eastAsia="en-US"/>
              </w:rPr>
            </w:pPr>
          </w:p>
        </w:tc>
        <w:tc>
          <w:tcPr>
            <w:tcW w:w="5113" w:type="dxa"/>
          </w:tcPr>
          <w:p w14:paraId="44F2E501" w14:textId="77777777" w:rsidR="00E133D3" w:rsidRPr="00E133D3" w:rsidRDefault="00E133D3" w:rsidP="00E133D3">
            <w:pPr>
              <w:rPr>
                <w:rFonts w:ascii="Arial" w:eastAsia="Arial" w:hAnsi="Arial" w:cs="Arial"/>
                <w:lang w:val="en-US" w:eastAsia="en-US"/>
              </w:rPr>
            </w:pPr>
          </w:p>
        </w:tc>
      </w:tr>
      <w:tr w:rsidR="00E133D3" w:rsidRPr="00E133D3" w14:paraId="741872CB" w14:textId="77777777" w:rsidTr="00D031BF">
        <w:trPr>
          <w:trHeight w:val="826"/>
        </w:trPr>
        <w:tc>
          <w:tcPr>
            <w:tcW w:w="4962" w:type="dxa"/>
          </w:tcPr>
          <w:p w14:paraId="2D552C69" w14:textId="77777777" w:rsidR="00E133D3" w:rsidRPr="00E133D3" w:rsidRDefault="00E133D3" w:rsidP="00E133D3">
            <w:pPr>
              <w:rPr>
                <w:rFonts w:ascii="Arial" w:eastAsia="Arial" w:hAnsi="Arial" w:cs="Arial"/>
                <w:b/>
                <w:lang w:val="en-US" w:eastAsia="en-US"/>
              </w:rPr>
            </w:pPr>
            <w:r w:rsidRPr="00E133D3">
              <w:rPr>
                <w:rFonts w:ascii="Arial" w:eastAsia="Arial" w:hAnsi="Arial" w:cs="Arial"/>
                <w:b/>
                <w:lang w:val="en-US" w:eastAsia="en-US"/>
              </w:rPr>
              <w:t>When?</w:t>
            </w:r>
          </w:p>
          <w:p w14:paraId="3795791C" w14:textId="77777777" w:rsidR="00E133D3" w:rsidRPr="00E133D3" w:rsidRDefault="00E133D3" w:rsidP="00E133D3">
            <w:pPr>
              <w:rPr>
                <w:rFonts w:ascii="Arial" w:eastAsia="Arial" w:hAnsi="Arial" w:cs="Arial"/>
                <w:lang w:val="en-US" w:eastAsia="en-US"/>
              </w:rPr>
            </w:pPr>
            <w:r w:rsidRPr="00E133D3">
              <w:rPr>
                <w:rFonts w:ascii="Arial" w:eastAsia="Arial" w:hAnsi="Arial" w:cs="Arial"/>
                <w:lang w:val="en-US" w:eastAsia="en-US"/>
              </w:rPr>
              <w:t>•</w:t>
            </w:r>
            <w:r w:rsidRPr="00E133D3">
              <w:rPr>
                <w:rFonts w:ascii="Arial" w:eastAsia="Arial" w:hAnsi="Arial" w:cs="Arial"/>
                <w:lang w:val="en-US" w:eastAsia="en-US"/>
              </w:rPr>
              <w:tab/>
              <w:t>When was the court case decided?</w:t>
            </w:r>
          </w:p>
          <w:p w14:paraId="7C53ED27" w14:textId="77777777" w:rsidR="00E133D3" w:rsidRPr="00E133D3" w:rsidRDefault="00E133D3" w:rsidP="00E133D3">
            <w:pPr>
              <w:rPr>
                <w:rFonts w:ascii="Arial" w:eastAsia="Arial" w:hAnsi="Arial" w:cs="Arial"/>
                <w:lang w:val="en-US" w:eastAsia="en-US"/>
              </w:rPr>
            </w:pPr>
            <w:r w:rsidRPr="00E133D3">
              <w:rPr>
                <w:rFonts w:ascii="Arial" w:eastAsia="Arial" w:hAnsi="Arial" w:cs="Arial"/>
                <w:lang w:val="en-US" w:eastAsia="en-US"/>
              </w:rPr>
              <w:tab/>
            </w:r>
          </w:p>
          <w:p w14:paraId="3ABDE409" w14:textId="77777777" w:rsidR="00E133D3" w:rsidRPr="00E133D3" w:rsidRDefault="00E133D3" w:rsidP="00E133D3">
            <w:pPr>
              <w:rPr>
                <w:rFonts w:ascii="Arial" w:eastAsia="Arial" w:hAnsi="Arial" w:cs="Arial"/>
                <w:lang w:val="en-US" w:eastAsia="en-US"/>
              </w:rPr>
            </w:pPr>
          </w:p>
        </w:tc>
        <w:tc>
          <w:tcPr>
            <w:tcW w:w="5113" w:type="dxa"/>
          </w:tcPr>
          <w:p w14:paraId="21E1F248" w14:textId="77777777" w:rsidR="00E133D3" w:rsidRPr="00E133D3" w:rsidRDefault="00E133D3" w:rsidP="00E133D3">
            <w:pPr>
              <w:rPr>
                <w:rFonts w:ascii="Arial" w:eastAsia="Arial" w:hAnsi="Arial" w:cs="Arial"/>
                <w:lang w:val="en-US" w:eastAsia="en-US"/>
              </w:rPr>
            </w:pPr>
          </w:p>
        </w:tc>
      </w:tr>
      <w:tr w:rsidR="00E133D3" w:rsidRPr="00E133D3" w14:paraId="6F477572" w14:textId="77777777" w:rsidTr="00D031BF">
        <w:trPr>
          <w:trHeight w:val="1104"/>
        </w:trPr>
        <w:tc>
          <w:tcPr>
            <w:tcW w:w="4962" w:type="dxa"/>
          </w:tcPr>
          <w:p w14:paraId="68F8D040" w14:textId="77777777" w:rsidR="00E133D3" w:rsidRPr="00E133D3" w:rsidRDefault="00E133D3" w:rsidP="00E133D3">
            <w:pPr>
              <w:rPr>
                <w:rFonts w:ascii="Arial" w:eastAsia="Arial" w:hAnsi="Arial" w:cs="Arial"/>
                <w:b/>
                <w:lang w:val="en-US" w:eastAsia="en-US"/>
              </w:rPr>
            </w:pPr>
            <w:r w:rsidRPr="00E133D3">
              <w:rPr>
                <w:rFonts w:ascii="Arial" w:eastAsia="Arial" w:hAnsi="Arial" w:cs="Arial"/>
                <w:b/>
                <w:lang w:val="en-US" w:eastAsia="en-US"/>
              </w:rPr>
              <w:t>Where?</w:t>
            </w:r>
          </w:p>
          <w:p w14:paraId="2C5A26DB" w14:textId="77777777" w:rsidR="00E133D3" w:rsidRPr="00E133D3" w:rsidRDefault="00E133D3" w:rsidP="00E133D3">
            <w:pPr>
              <w:rPr>
                <w:rFonts w:ascii="Arial" w:eastAsia="Arial" w:hAnsi="Arial" w:cs="Arial"/>
                <w:lang w:val="en-US" w:eastAsia="en-US"/>
              </w:rPr>
            </w:pPr>
            <w:r w:rsidRPr="00E133D3">
              <w:rPr>
                <w:rFonts w:ascii="Arial" w:eastAsia="Arial" w:hAnsi="Arial" w:cs="Arial"/>
                <w:lang w:val="en-US" w:eastAsia="en-US"/>
              </w:rPr>
              <w:t>•</w:t>
            </w:r>
            <w:r w:rsidRPr="00E133D3">
              <w:rPr>
                <w:rFonts w:ascii="Arial" w:eastAsia="Arial" w:hAnsi="Arial" w:cs="Arial"/>
                <w:lang w:val="en-US" w:eastAsia="en-US"/>
              </w:rPr>
              <w:tab/>
              <w:t>Where is the land in question?</w:t>
            </w:r>
          </w:p>
          <w:p w14:paraId="19915FDA" w14:textId="77777777" w:rsidR="00E133D3" w:rsidRPr="00E133D3" w:rsidRDefault="00E133D3" w:rsidP="00E133D3">
            <w:pPr>
              <w:rPr>
                <w:rFonts w:ascii="Arial" w:eastAsia="Arial" w:hAnsi="Arial" w:cs="Arial"/>
                <w:lang w:val="en-US" w:eastAsia="en-US"/>
              </w:rPr>
            </w:pPr>
          </w:p>
          <w:p w14:paraId="7916DBD3" w14:textId="77777777" w:rsidR="00E133D3" w:rsidRPr="00E133D3" w:rsidRDefault="00E133D3" w:rsidP="00E133D3">
            <w:pPr>
              <w:rPr>
                <w:rFonts w:ascii="Arial" w:eastAsia="Arial" w:hAnsi="Arial" w:cs="Arial"/>
                <w:lang w:val="en-US" w:eastAsia="en-US"/>
              </w:rPr>
            </w:pPr>
          </w:p>
        </w:tc>
        <w:tc>
          <w:tcPr>
            <w:tcW w:w="5113" w:type="dxa"/>
          </w:tcPr>
          <w:p w14:paraId="7CFC1F3E" w14:textId="77777777" w:rsidR="00E133D3" w:rsidRPr="00E133D3" w:rsidRDefault="00E133D3" w:rsidP="00E133D3">
            <w:pPr>
              <w:rPr>
                <w:rFonts w:ascii="Arial" w:eastAsia="Arial" w:hAnsi="Arial" w:cs="Arial"/>
                <w:lang w:val="en-US" w:eastAsia="en-US"/>
              </w:rPr>
            </w:pPr>
          </w:p>
        </w:tc>
      </w:tr>
      <w:tr w:rsidR="00E133D3" w:rsidRPr="00E133D3" w14:paraId="05DB6CFC" w14:textId="77777777" w:rsidTr="00D031BF">
        <w:trPr>
          <w:trHeight w:val="826"/>
        </w:trPr>
        <w:tc>
          <w:tcPr>
            <w:tcW w:w="4962" w:type="dxa"/>
          </w:tcPr>
          <w:p w14:paraId="23719439" w14:textId="77777777" w:rsidR="00E133D3" w:rsidRPr="00E133D3" w:rsidRDefault="00E133D3" w:rsidP="00E133D3">
            <w:pPr>
              <w:rPr>
                <w:rFonts w:ascii="Arial" w:eastAsia="Arial" w:hAnsi="Arial" w:cs="Arial"/>
                <w:b/>
                <w:lang w:val="en-US" w:eastAsia="en-US"/>
              </w:rPr>
            </w:pPr>
            <w:r w:rsidRPr="00E133D3">
              <w:rPr>
                <w:rFonts w:ascii="Arial" w:eastAsia="Arial" w:hAnsi="Arial" w:cs="Arial"/>
                <w:b/>
                <w:lang w:val="en-US" w:eastAsia="en-US"/>
              </w:rPr>
              <w:t>Why?</w:t>
            </w:r>
          </w:p>
          <w:p w14:paraId="57500148" w14:textId="77777777" w:rsidR="00E133D3" w:rsidRPr="00E133D3" w:rsidRDefault="00E133D3" w:rsidP="00E133D3">
            <w:pPr>
              <w:rPr>
                <w:rFonts w:ascii="Arial" w:eastAsia="Arial" w:hAnsi="Arial" w:cs="Arial"/>
                <w:lang w:val="en-US" w:eastAsia="en-US"/>
              </w:rPr>
            </w:pPr>
            <w:r w:rsidRPr="00E133D3">
              <w:rPr>
                <w:rFonts w:ascii="Arial" w:eastAsia="Arial" w:hAnsi="Arial" w:cs="Arial"/>
                <w:lang w:val="en-US" w:eastAsia="en-US"/>
              </w:rPr>
              <w:t>•</w:t>
            </w:r>
            <w:r w:rsidRPr="00E133D3">
              <w:rPr>
                <w:rFonts w:ascii="Arial" w:eastAsia="Arial" w:hAnsi="Arial" w:cs="Arial"/>
                <w:lang w:val="en-US" w:eastAsia="en-US"/>
              </w:rPr>
              <w:tab/>
              <w:t>Why is this considered to be a landmark case?</w:t>
            </w:r>
          </w:p>
          <w:p w14:paraId="334E184D" w14:textId="77777777" w:rsidR="00E133D3" w:rsidRPr="00E133D3" w:rsidRDefault="00E133D3" w:rsidP="00E133D3">
            <w:pPr>
              <w:rPr>
                <w:rFonts w:ascii="Arial" w:eastAsia="Arial" w:hAnsi="Arial" w:cs="Arial"/>
                <w:lang w:val="en-US" w:eastAsia="en-US"/>
              </w:rPr>
            </w:pPr>
            <w:r w:rsidRPr="00E133D3">
              <w:rPr>
                <w:rFonts w:ascii="Arial" w:eastAsia="Arial" w:hAnsi="Arial" w:cs="Arial"/>
                <w:lang w:val="en-US" w:eastAsia="en-US"/>
              </w:rPr>
              <w:tab/>
            </w:r>
          </w:p>
          <w:p w14:paraId="56070016" w14:textId="77777777" w:rsidR="00E133D3" w:rsidRPr="00E133D3" w:rsidRDefault="00E133D3" w:rsidP="00E133D3">
            <w:pPr>
              <w:rPr>
                <w:rFonts w:ascii="Arial" w:eastAsia="Arial" w:hAnsi="Arial" w:cs="Arial"/>
                <w:lang w:val="en-US" w:eastAsia="en-US"/>
              </w:rPr>
            </w:pPr>
          </w:p>
          <w:p w14:paraId="659B3C15" w14:textId="77777777" w:rsidR="00E133D3" w:rsidRPr="00E133D3" w:rsidRDefault="00E133D3" w:rsidP="00E133D3">
            <w:pPr>
              <w:rPr>
                <w:rFonts w:ascii="Arial" w:eastAsia="Arial" w:hAnsi="Arial" w:cs="Arial"/>
                <w:lang w:val="en-US" w:eastAsia="en-US"/>
              </w:rPr>
            </w:pPr>
          </w:p>
          <w:p w14:paraId="0F5CE7A5" w14:textId="77777777" w:rsidR="00E133D3" w:rsidRPr="00E133D3" w:rsidRDefault="00E133D3" w:rsidP="00E133D3">
            <w:pPr>
              <w:rPr>
                <w:rFonts w:ascii="Arial" w:eastAsia="Arial" w:hAnsi="Arial" w:cs="Arial"/>
                <w:lang w:val="en-US" w:eastAsia="en-US"/>
              </w:rPr>
            </w:pPr>
          </w:p>
        </w:tc>
        <w:tc>
          <w:tcPr>
            <w:tcW w:w="5113" w:type="dxa"/>
          </w:tcPr>
          <w:p w14:paraId="7A2F5BA3" w14:textId="77777777" w:rsidR="00E133D3" w:rsidRPr="00E133D3" w:rsidRDefault="00E133D3" w:rsidP="00E133D3">
            <w:pPr>
              <w:rPr>
                <w:rFonts w:ascii="Arial" w:eastAsia="Arial" w:hAnsi="Arial" w:cs="Arial"/>
                <w:lang w:val="en-US" w:eastAsia="en-US"/>
              </w:rPr>
            </w:pPr>
          </w:p>
        </w:tc>
      </w:tr>
      <w:tr w:rsidR="00E133D3" w:rsidRPr="00E133D3" w14:paraId="7D4E012D" w14:textId="77777777" w:rsidTr="00D031BF">
        <w:tc>
          <w:tcPr>
            <w:tcW w:w="4962" w:type="dxa"/>
          </w:tcPr>
          <w:p w14:paraId="4DF0C142" w14:textId="77777777" w:rsidR="00E133D3" w:rsidRPr="00E133D3" w:rsidRDefault="00E133D3" w:rsidP="00E133D3">
            <w:pPr>
              <w:rPr>
                <w:rFonts w:ascii="Arial" w:eastAsia="Arial" w:hAnsi="Arial" w:cs="Arial"/>
                <w:b/>
                <w:lang w:val="en-US" w:eastAsia="en-US"/>
              </w:rPr>
            </w:pPr>
            <w:r w:rsidRPr="00E133D3">
              <w:rPr>
                <w:rFonts w:ascii="Arial" w:eastAsia="Arial" w:hAnsi="Arial" w:cs="Arial"/>
                <w:b/>
                <w:lang w:val="en-US" w:eastAsia="en-US"/>
              </w:rPr>
              <w:t>What is one interesting fact you found out about this case?</w:t>
            </w:r>
          </w:p>
          <w:p w14:paraId="2832E648" w14:textId="77777777" w:rsidR="00E133D3" w:rsidRPr="00E133D3" w:rsidRDefault="00E133D3" w:rsidP="00E133D3">
            <w:pPr>
              <w:rPr>
                <w:rFonts w:ascii="Arial" w:eastAsia="Arial" w:hAnsi="Arial" w:cs="Arial"/>
                <w:b/>
                <w:lang w:val="en-US" w:eastAsia="en-US"/>
              </w:rPr>
            </w:pPr>
          </w:p>
          <w:p w14:paraId="43B921D0" w14:textId="77777777" w:rsidR="00E133D3" w:rsidRPr="00E133D3" w:rsidRDefault="00E133D3" w:rsidP="00E133D3">
            <w:pPr>
              <w:rPr>
                <w:rFonts w:ascii="Arial" w:eastAsia="Arial" w:hAnsi="Arial" w:cs="Arial"/>
                <w:b/>
                <w:lang w:val="en-US" w:eastAsia="en-US"/>
              </w:rPr>
            </w:pPr>
          </w:p>
          <w:p w14:paraId="3052F13F" w14:textId="77777777" w:rsidR="00E133D3" w:rsidRPr="00E133D3" w:rsidRDefault="00E133D3" w:rsidP="00E133D3">
            <w:pPr>
              <w:rPr>
                <w:rFonts w:ascii="Arial" w:eastAsia="Arial" w:hAnsi="Arial" w:cs="Arial"/>
                <w:b/>
                <w:lang w:val="en-US" w:eastAsia="en-US"/>
              </w:rPr>
            </w:pPr>
          </w:p>
          <w:p w14:paraId="78FDB8B4" w14:textId="77777777" w:rsidR="00E133D3" w:rsidRPr="00E133D3" w:rsidRDefault="00E133D3" w:rsidP="00E133D3">
            <w:pPr>
              <w:rPr>
                <w:rFonts w:ascii="Arial" w:eastAsia="Arial" w:hAnsi="Arial" w:cs="Arial"/>
                <w:b/>
                <w:lang w:val="en-US" w:eastAsia="en-US"/>
              </w:rPr>
            </w:pPr>
          </w:p>
        </w:tc>
        <w:tc>
          <w:tcPr>
            <w:tcW w:w="5113" w:type="dxa"/>
          </w:tcPr>
          <w:p w14:paraId="38A3C1C9" w14:textId="77777777" w:rsidR="00E133D3" w:rsidRPr="00E133D3" w:rsidRDefault="00E133D3" w:rsidP="00E133D3">
            <w:pPr>
              <w:rPr>
                <w:rFonts w:ascii="Arial" w:eastAsia="Arial" w:hAnsi="Arial" w:cs="Arial"/>
                <w:lang w:val="en-US" w:eastAsia="en-US"/>
              </w:rPr>
            </w:pPr>
          </w:p>
        </w:tc>
      </w:tr>
      <w:tr w:rsidR="00E133D3" w:rsidRPr="00E133D3" w14:paraId="0E15E3E5" w14:textId="77777777" w:rsidTr="00D031BF">
        <w:tc>
          <w:tcPr>
            <w:tcW w:w="4962" w:type="dxa"/>
          </w:tcPr>
          <w:p w14:paraId="34900E4A" w14:textId="77777777" w:rsidR="00E133D3" w:rsidRPr="00E133D3" w:rsidRDefault="00E133D3" w:rsidP="00E133D3">
            <w:pPr>
              <w:rPr>
                <w:rFonts w:ascii="Arial" w:eastAsia="Arial" w:hAnsi="Arial" w:cs="Arial"/>
                <w:b/>
                <w:lang w:val="en-US" w:eastAsia="en-US"/>
              </w:rPr>
            </w:pPr>
            <w:r w:rsidRPr="00E133D3">
              <w:rPr>
                <w:rFonts w:ascii="Arial" w:eastAsia="Arial" w:hAnsi="Arial" w:cs="Arial"/>
                <w:b/>
                <w:lang w:val="en-US" w:eastAsia="en-US"/>
              </w:rPr>
              <w:t>What further questions do you have?</w:t>
            </w:r>
          </w:p>
          <w:p w14:paraId="1580F8F0" w14:textId="77777777" w:rsidR="00E133D3" w:rsidRPr="00E133D3" w:rsidRDefault="00E133D3" w:rsidP="00E133D3">
            <w:pPr>
              <w:rPr>
                <w:rFonts w:ascii="Arial" w:eastAsia="Arial" w:hAnsi="Arial" w:cs="Arial"/>
                <w:lang w:val="en-US" w:eastAsia="en-US"/>
              </w:rPr>
            </w:pPr>
          </w:p>
          <w:p w14:paraId="0FDAD0AE" w14:textId="77777777" w:rsidR="00E133D3" w:rsidRPr="00E133D3" w:rsidRDefault="00E133D3" w:rsidP="00E133D3">
            <w:pPr>
              <w:rPr>
                <w:rFonts w:ascii="Arial" w:eastAsia="Arial" w:hAnsi="Arial" w:cs="Arial"/>
                <w:lang w:val="en-US" w:eastAsia="en-US"/>
              </w:rPr>
            </w:pPr>
          </w:p>
          <w:p w14:paraId="58844D3F" w14:textId="77777777" w:rsidR="00E133D3" w:rsidRPr="00E133D3" w:rsidRDefault="00E133D3" w:rsidP="00E133D3">
            <w:pPr>
              <w:rPr>
                <w:rFonts w:ascii="Arial" w:eastAsia="Arial" w:hAnsi="Arial" w:cs="Arial"/>
                <w:lang w:val="en-US" w:eastAsia="en-US"/>
              </w:rPr>
            </w:pPr>
          </w:p>
          <w:p w14:paraId="66943FE7" w14:textId="77777777" w:rsidR="00E133D3" w:rsidRPr="00E133D3" w:rsidRDefault="00E133D3" w:rsidP="00E133D3">
            <w:pPr>
              <w:rPr>
                <w:rFonts w:ascii="Arial" w:eastAsia="Arial" w:hAnsi="Arial" w:cs="Arial"/>
                <w:lang w:val="en-US" w:eastAsia="en-US"/>
              </w:rPr>
            </w:pPr>
          </w:p>
          <w:p w14:paraId="60646ED6" w14:textId="77777777" w:rsidR="00E133D3" w:rsidRPr="00E133D3" w:rsidRDefault="00E133D3" w:rsidP="00E133D3">
            <w:pPr>
              <w:rPr>
                <w:rFonts w:ascii="Arial" w:eastAsia="Arial" w:hAnsi="Arial" w:cs="Arial"/>
                <w:lang w:val="en-US" w:eastAsia="en-US"/>
              </w:rPr>
            </w:pPr>
          </w:p>
        </w:tc>
        <w:tc>
          <w:tcPr>
            <w:tcW w:w="5113" w:type="dxa"/>
          </w:tcPr>
          <w:p w14:paraId="07FCF37E" w14:textId="77777777" w:rsidR="00E133D3" w:rsidRPr="00E133D3" w:rsidRDefault="00E133D3" w:rsidP="00E133D3">
            <w:pPr>
              <w:rPr>
                <w:rFonts w:ascii="Arial" w:eastAsia="Arial" w:hAnsi="Arial" w:cs="Arial"/>
                <w:lang w:val="en-US" w:eastAsia="en-US"/>
              </w:rPr>
            </w:pPr>
          </w:p>
        </w:tc>
      </w:tr>
    </w:tbl>
    <w:p w14:paraId="78D487BA" w14:textId="77777777" w:rsidR="00E133D3" w:rsidRPr="00E133D3" w:rsidRDefault="00E133D3" w:rsidP="00E133D3">
      <w:pPr>
        <w:keepNext/>
        <w:keepLines/>
        <w:spacing w:before="240" w:line="259" w:lineRule="auto"/>
        <w:outlineLvl w:val="0"/>
        <w:rPr>
          <w:rFonts w:ascii="Arial" w:eastAsia="Arial" w:hAnsi="Arial" w:cs="Arial"/>
          <w:color w:val="2F5496" w:themeColor="accent1" w:themeShade="BF"/>
          <w:sz w:val="22"/>
          <w:szCs w:val="22"/>
          <w:lang w:val="en-US" w:eastAsia="en-US"/>
        </w:rPr>
      </w:pPr>
      <w:r w:rsidRPr="00E133D3">
        <w:rPr>
          <w:rFonts w:ascii="Arial" w:eastAsia="Arial" w:hAnsi="Arial" w:cs="Arial"/>
          <w:color w:val="2F5496" w:themeColor="accent1" w:themeShade="BF"/>
          <w:sz w:val="22"/>
          <w:szCs w:val="22"/>
          <w:lang w:val="en-US" w:eastAsia="en-US"/>
        </w:rPr>
        <w:t>Further Reading</w:t>
      </w:r>
    </w:p>
    <w:p w14:paraId="0C67EBFA" w14:textId="77777777" w:rsidR="00E133D3" w:rsidRPr="00E133D3" w:rsidRDefault="00E133D3" w:rsidP="00E133D3">
      <w:pPr>
        <w:spacing w:after="160"/>
        <w:rPr>
          <w:rFonts w:ascii="Arial" w:eastAsia="Arial" w:hAnsi="Arial" w:cs="Arial"/>
          <w:sz w:val="22"/>
          <w:szCs w:val="22"/>
          <w:lang w:val="en-US" w:eastAsia="en-US"/>
        </w:rPr>
      </w:pPr>
      <w:r w:rsidRPr="00E133D3">
        <w:rPr>
          <w:rFonts w:ascii="Arial" w:eastAsia="Arial" w:hAnsi="Arial" w:cs="Arial"/>
          <w:sz w:val="22"/>
          <w:szCs w:val="22"/>
          <w:lang w:val="en-US" w:eastAsia="en-US"/>
        </w:rPr>
        <w:t xml:space="preserve">Canada. Supreme Court of Canada Judgments. 2022. "St. </w:t>
      </w:r>
      <w:proofErr w:type="spellStart"/>
      <w:r w:rsidRPr="00E133D3">
        <w:rPr>
          <w:rFonts w:ascii="Arial" w:eastAsia="Arial" w:hAnsi="Arial" w:cs="Arial"/>
          <w:sz w:val="22"/>
          <w:szCs w:val="22"/>
          <w:lang w:val="en-US" w:eastAsia="en-US"/>
        </w:rPr>
        <w:t>Catharines</w:t>
      </w:r>
      <w:proofErr w:type="spellEnd"/>
      <w:r w:rsidRPr="00E133D3">
        <w:rPr>
          <w:rFonts w:ascii="Arial" w:eastAsia="Arial" w:hAnsi="Arial" w:cs="Arial"/>
          <w:sz w:val="22"/>
          <w:szCs w:val="22"/>
          <w:lang w:val="en-US" w:eastAsia="en-US"/>
        </w:rPr>
        <w:t xml:space="preserve"> Milling and Lumber Co. v. R." </w:t>
      </w:r>
      <w:proofErr w:type="spellStart"/>
      <w:r w:rsidRPr="00E133D3">
        <w:rPr>
          <w:rFonts w:ascii="Arial" w:eastAsia="Arial" w:hAnsi="Arial" w:cs="Arial"/>
          <w:i/>
          <w:sz w:val="22"/>
          <w:szCs w:val="22"/>
          <w:lang w:val="en-US" w:eastAsia="en-US"/>
        </w:rPr>
        <w:t>Lexum</w:t>
      </w:r>
      <w:proofErr w:type="spellEnd"/>
      <w:r w:rsidRPr="00E133D3">
        <w:rPr>
          <w:rFonts w:ascii="Arial" w:eastAsia="Arial" w:hAnsi="Arial" w:cs="Arial"/>
          <w:sz w:val="22"/>
          <w:szCs w:val="22"/>
          <w:lang w:val="en-US" w:eastAsia="en-US"/>
        </w:rPr>
        <w:t xml:space="preserve">. </w:t>
      </w:r>
      <w:hyperlink r:id="rId20">
        <w:r w:rsidRPr="00E133D3">
          <w:rPr>
            <w:rFonts w:ascii="Arial" w:eastAsia="Arial" w:hAnsi="Arial" w:cs="Arial"/>
            <w:color w:val="0000FF"/>
            <w:sz w:val="22"/>
            <w:szCs w:val="22"/>
            <w:u w:val="single"/>
            <w:lang w:val="en-US" w:eastAsia="en-US"/>
          </w:rPr>
          <w:t>https://scc-csc.lexum.com/scc-csc/scc-csc/en/item/3769/index.do</w:t>
        </w:r>
      </w:hyperlink>
      <w:r w:rsidRPr="00E133D3">
        <w:rPr>
          <w:rFonts w:ascii="Arial" w:eastAsia="Arial" w:hAnsi="Arial" w:cs="Arial"/>
          <w:sz w:val="22"/>
          <w:szCs w:val="22"/>
          <w:lang w:val="en-US" w:eastAsia="en-US"/>
        </w:rPr>
        <w:t>.</w:t>
      </w:r>
    </w:p>
    <w:p w14:paraId="09D47D9C" w14:textId="77777777" w:rsidR="00E133D3" w:rsidRPr="00E133D3" w:rsidRDefault="00E133D3" w:rsidP="00E133D3">
      <w:pPr>
        <w:spacing w:after="160"/>
        <w:rPr>
          <w:rFonts w:ascii="Arial" w:eastAsia="Arial" w:hAnsi="Arial" w:cs="Arial"/>
          <w:sz w:val="22"/>
          <w:szCs w:val="22"/>
          <w:lang w:val="en-US" w:eastAsia="en-US"/>
        </w:rPr>
      </w:pPr>
      <w:r w:rsidRPr="00E133D3">
        <w:rPr>
          <w:rFonts w:ascii="Arial" w:eastAsia="Arial" w:hAnsi="Arial" w:cs="Arial"/>
          <w:sz w:val="22"/>
          <w:szCs w:val="22"/>
          <w:lang w:val="en-US" w:eastAsia="en-US"/>
        </w:rPr>
        <w:t xml:space="preserve">Drake, K. 2018. "The Impact of St Catherine's Milling." Articles &amp; Book Chapters. 2682. </w:t>
      </w:r>
      <w:proofErr w:type="spellStart"/>
      <w:r w:rsidRPr="00E133D3">
        <w:rPr>
          <w:rFonts w:ascii="Arial" w:eastAsia="Arial" w:hAnsi="Arial" w:cs="Arial"/>
          <w:i/>
          <w:sz w:val="22"/>
          <w:szCs w:val="22"/>
          <w:lang w:val="en-US" w:eastAsia="en-US"/>
        </w:rPr>
        <w:t>Osgoode</w:t>
      </w:r>
      <w:proofErr w:type="spellEnd"/>
      <w:r w:rsidRPr="00E133D3">
        <w:rPr>
          <w:rFonts w:ascii="Arial" w:eastAsia="Arial" w:hAnsi="Arial" w:cs="Arial"/>
          <w:i/>
          <w:sz w:val="22"/>
          <w:szCs w:val="22"/>
          <w:lang w:val="en-US" w:eastAsia="en-US"/>
        </w:rPr>
        <w:t xml:space="preserve"> Hall Law School of York University</w:t>
      </w:r>
      <w:r w:rsidRPr="00E133D3">
        <w:rPr>
          <w:rFonts w:ascii="Arial" w:eastAsia="Arial" w:hAnsi="Arial" w:cs="Arial"/>
          <w:sz w:val="22"/>
          <w:szCs w:val="22"/>
          <w:lang w:val="en-US" w:eastAsia="en-US"/>
        </w:rPr>
        <w:t xml:space="preserve">. </w:t>
      </w:r>
      <w:hyperlink r:id="rId21">
        <w:r w:rsidRPr="00E133D3">
          <w:rPr>
            <w:rFonts w:ascii="Arial" w:eastAsia="Arial" w:hAnsi="Arial" w:cs="Arial"/>
            <w:color w:val="0000FF"/>
            <w:sz w:val="22"/>
            <w:szCs w:val="22"/>
            <w:u w:val="single"/>
            <w:lang w:val="en-US" w:eastAsia="en-US"/>
          </w:rPr>
          <w:t>https://digitalcommons.osgoode.yorku.ca/scholarly_works/2682/</w:t>
        </w:r>
      </w:hyperlink>
      <w:r w:rsidRPr="00E133D3">
        <w:rPr>
          <w:rFonts w:ascii="Arial" w:eastAsia="Arial" w:hAnsi="Arial" w:cs="Arial"/>
          <w:sz w:val="22"/>
          <w:szCs w:val="22"/>
          <w:lang w:val="en-US" w:eastAsia="en-US"/>
        </w:rPr>
        <w:t>.</w:t>
      </w:r>
    </w:p>
    <w:p w14:paraId="37E38E75" w14:textId="77777777" w:rsidR="00E133D3" w:rsidRPr="00E133D3" w:rsidRDefault="00E133D3" w:rsidP="00E133D3">
      <w:pPr>
        <w:spacing w:after="160"/>
        <w:rPr>
          <w:rFonts w:ascii="Arial" w:eastAsia="Arial" w:hAnsi="Arial" w:cs="Arial"/>
          <w:sz w:val="22"/>
          <w:szCs w:val="22"/>
          <w:lang w:val="en-US" w:eastAsia="en-US"/>
        </w:rPr>
      </w:pPr>
      <w:r w:rsidRPr="00E133D3">
        <w:rPr>
          <w:rFonts w:ascii="Arial" w:eastAsia="Arial" w:hAnsi="Arial" w:cs="Arial"/>
          <w:sz w:val="22"/>
          <w:szCs w:val="22"/>
          <w:lang w:val="en-US" w:eastAsia="en-US"/>
        </w:rPr>
        <w:t xml:space="preserve">Henderson, B. 1996. "A Brief Introduction to Aboriginal Law in Canada." </w:t>
      </w:r>
      <w:r w:rsidRPr="00E133D3">
        <w:rPr>
          <w:rFonts w:ascii="Arial" w:eastAsia="Arial" w:hAnsi="Arial" w:cs="Arial"/>
          <w:i/>
          <w:sz w:val="22"/>
          <w:szCs w:val="22"/>
          <w:lang w:val="en-US" w:eastAsia="en-US"/>
        </w:rPr>
        <w:t>Bloorstreet.com</w:t>
      </w:r>
      <w:r w:rsidRPr="00E133D3">
        <w:rPr>
          <w:rFonts w:ascii="Arial" w:eastAsia="Arial" w:hAnsi="Arial" w:cs="Arial"/>
          <w:sz w:val="22"/>
          <w:szCs w:val="22"/>
          <w:lang w:val="en-US" w:eastAsia="en-US"/>
        </w:rPr>
        <w:t xml:space="preserve">.  </w:t>
      </w:r>
      <w:hyperlink r:id="rId22">
        <w:r w:rsidRPr="00E133D3">
          <w:rPr>
            <w:rFonts w:ascii="Arial" w:eastAsia="Arial" w:hAnsi="Arial" w:cs="Arial"/>
            <w:color w:val="0000FF"/>
            <w:sz w:val="22"/>
            <w:szCs w:val="22"/>
            <w:u w:val="single"/>
            <w:lang w:val="en-US" w:eastAsia="en-US"/>
          </w:rPr>
          <w:t>http://www.bloorstreet.com/200block/brintro.htm</w:t>
        </w:r>
      </w:hyperlink>
      <w:r w:rsidRPr="00E133D3">
        <w:rPr>
          <w:rFonts w:ascii="Arial" w:eastAsia="Arial" w:hAnsi="Arial" w:cs="Arial"/>
          <w:sz w:val="22"/>
          <w:szCs w:val="22"/>
          <w:lang w:val="en-US" w:eastAsia="en-US"/>
        </w:rPr>
        <w:t>.</w:t>
      </w:r>
    </w:p>
    <w:p w14:paraId="2FDCEE9B" w14:textId="77777777" w:rsidR="00E133D3" w:rsidRPr="00E133D3" w:rsidRDefault="00E133D3" w:rsidP="00E133D3">
      <w:pPr>
        <w:widowControl w:val="0"/>
        <w:rPr>
          <w:rFonts w:ascii="Arial" w:eastAsia="Arial" w:hAnsi="Arial" w:cs="Arial"/>
          <w:color w:val="0000FF"/>
          <w:sz w:val="22"/>
          <w:szCs w:val="22"/>
          <w:u w:val="single"/>
          <w:lang w:val="en-US" w:eastAsia="en-US"/>
        </w:rPr>
      </w:pPr>
      <w:r w:rsidRPr="00E133D3">
        <w:rPr>
          <w:rFonts w:ascii="Arial" w:eastAsia="Arial" w:hAnsi="Arial" w:cs="Arial"/>
          <w:sz w:val="22"/>
          <w:szCs w:val="22"/>
          <w:lang w:val="en-US" w:eastAsia="en-US"/>
        </w:rPr>
        <w:t xml:space="preserve">"St. Catherine’s Milling Co. v. The Queen, Judicial Committee of the Privy Council – [1888] 14 A.C. 46." </w:t>
      </w:r>
      <w:r w:rsidRPr="00E133D3">
        <w:rPr>
          <w:rFonts w:ascii="Arial" w:eastAsia="Arial" w:hAnsi="Arial" w:cs="Arial"/>
          <w:i/>
          <w:sz w:val="22"/>
          <w:szCs w:val="22"/>
          <w:lang w:val="en-US" w:eastAsia="en-US"/>
        </w:rPr>
        <w:t>DIALOG</w:t>
      </w:r>
      <w:r w:rsidRPr="00E133D3">
        <w:rPr>
          <w:rFonts w:ascii="Arial" w:eastAsia="Arial" w:hAnsi="Arial" w:cs="Arial"/>
          <w:sz w:val="22"/>
          <w:szCs w:val="22"/>
          <w:lang w:val="en-US" w:eastAsia="en-US"/>
        </w:rPr>
        <w:t xml:space="preserve">. [n.d.]. </w:t>
      </w:r>
      <w:hyperlink r:id="rId23">
        <w:r w:rsidRPr="00E133D3">
          <w:rPr>
            <w:rFonts w:ascii="Arial" w:eastAsia="Arial" w:hAnsi="Arial" w:cs="Arial"/>
            <w:color w:val="0000FF"/>
            <w:sz w:val="22"/>
            <w:szCs w:val="22"/>
            <w:u w:val="single"/>
            <w:lang w:val="en-US" w:eastAsia="en-US"/>
          </w:rPr>
          <w:t>https://jurisprudence.reseaudialog.ca/en/case/st-catherines-milling-co-v-the-queen/</w:t>
        </w:r>
      </w:hyperlink>
    </w:p>
    <w:p w14:paraId="3F0E9244" w14:textId="55ADD985" w:rsidR="003F1857" w:rsidRPr="000C6CAB" w:rsidRDefault="003F1857" w:rsidP="000C6CAB">
      <w:pPr>
        <w:spacing w:after="160"/>
        <w:rPr>
          <w:rFonts w:ascii="Arial" w:eastAsia="Arial" w:hAnsi="Arial" w:cs="Arial"/>
          <w:color w:val="0000FF"/>
          <w:sz w:val="22"/>
          <w:szCs w:val="22"/>
          <w:u w:val="single"/>
          <w:lang w:val="en-US" w:eastAsia="en-US"/>
        </w:rPr>
      </w:pPr>
    </w:p>
    <w:sectPr w:rsidR="003F1857" w:rsidRPr="000C6CAB">
      <w:headerReference w:type="even" r:id="rId24"/>
      <w:headerReference w:type="default" r:id="rId25"/>
      <w:footerReference w:type="even" r:id="rId26"/>
      <w:footerReference w:type="default" r:id="rId27"/>
      <w:headerReference w:type="first" r:id="rId28"/>
      <w:footerReference w:type="first" r:id="rId29"/>
      <w:pgSz w:w="12240" w:h="15840"/>
      <w:pgMar w:top="720" w:right="720" w:bottom="720" w:left="720" w:header="737"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0DA7B" w14:textId="77777777" w:rsidR="00296E15" w:rsidRDefault="00296E15">
      <w:r>
        <w:separator/>
      </w:r>
    </w:p>
  </w:endnote>
  <w:endnote w:type="continuationSeparator" w:id="0">
    <w:p w14:paraId="208129C2" w14:textId="77777777" w:rsidR="00296E15" w:rsidRDefault="00296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kzidenzGroteskBE-Light">
    <w:panose1 w:val="00000000000000000000"/>
    <w:charset w:val="4D"/>
    <w:family w:val="auto"/>
    <w:notTrueType/>
    <w:pitch w:val="variable"/>
    <w:sig w:usb0="800000AF" w:usb1="4000004A" w:usb2="00000000" w:usb3="00000000" w:csb0="00000001"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erthold Akzidenz Grotesk">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EC57E" w14:textId="77777777" w:rsidR="003F1857" w:rsidRDefault="008A3906">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sidR="00296E15">
      <w:rPr>
        <w:color w:val="000000"/>
      </w:rPr>
      <w:fldChar w:fldCharType="separate"/>
    </w:r>
    <w:r>
      <w:rPr>
        <w:color w:val="000000"/>
      </w:rPr>
      <w:fldChar w:fldCharType="end"/>
    </w:r>
  </w:p>
  <w:p w14:paraId="2C7B44BF" w14:textId="77777777" w:rsidR="003F1857" w:rsidRDefault="003F1857">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52EA0" w14:textId="77777777" w:rsidR="003F1857" w:rsidRDefault="008A3906">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E133D3">
      <w:rPr>
        <w:noProof/>
        <w:color w:val="000000"/>
      </w:rPr>
      <w:t>1</w:t>
    </w:r>
    <w:r>
      <w:rPr>
        <w:color w:val="000000"/>
      </w:rPr>
      <w:fldChar w:fldCharType="end"/>
    </w:r>
  </w:p>
  <w:p w14:paraId="2F8A7D61" w14:textId="77777777" w:rsidR="003F1857" w:rsidRDefault="003F1857">
    <w:pPr>
      <w:pBdr>
        <w:top w:val="nil"/>
        <w:left w:val="nil"/>
        <w:bottom w:val="nil"/>
        <w:right w:val="nil"/>
        <w:between w:val="nil"/>
      </w:pBdr>
      <w:tabs>
        <w:tab w:val="center" w:pos="4680"/>
        <w:tab w:val="right" w:pos="9360"/>
      </w:tabs>
      <w:rPr>
        <w:color w:val="000000"/>
      </w:rPr>
    </w:pPr>
  </w:p>
  <w:p w14:paraId="6EF8B020" w14:textId="77777777" w:rsidR="003F1857" w:rsidRDefault="008A3906">
    <w:pPr>
      <w:pBdr>
        <w:top w:val="nil"/>
        <w:left w:val="nil"/>
        <w:bottom w:val="nil"/>
        <w:right w:val="nil"/>
        <w:between w:val="nil"/>
      </w:pBdr>
      <w:tabs>
        <w:tab w:val="center" w:pos="4680"/>
        <w:tab w:val="right" w:pos="10800"/>
        <w:tab w:val="right" w:pos="10770"/>
      </w:tabs>
      <w:rPr>
        <w:rFonts w:ascii="Berthold Akzidenz Grotesk" w:eastAsia="Berthold Akzidenz Grotesk" w:hAnsi="Berthold Akzidenz Grotesk" w:cs="Berthold Akzidenz Grotesk"/>
        <w:color w:val="646A69"/>
        <w:sz w:val="20"/>
        <w:szCs w:val="20"/>
      </w:rPr>
    </w:pPr>
    <w:r>
      <w:rPr>
        <w:rFonts w:ascii="Verdana" w:eastAsia="Verdana" w:hAnsi="Verdana" w:cs="Verdana"/>
        <w:b/>
        <w:color w:val="70AD47"/>
        <w:sz w:val="20"/>
        <w:szCs w:val="20"/>
      </w:rPr>
      <w:t xml:space="preserve">JusticeEducation.ca                  </w:t>
    </w:r>
    <w:r>
      <w:rPr>
        <w:rFonts w:ascii="Verdana" w:eastAsia="Verdana" w:hAnsi="Verdana" w:cs="Verdana"/>
        <w:color w:val="70AD47"/>
        <w:sz w:val="20"/>
        <w:szCs w:val="20"/>
      </w:rPr>
      <w:t xml:space="preserve"> </w:t>
    </w:r>
    <w:r>
      <w:rPr>
        <w:rFonts w:ascii="Verdana" w:eastAsia="Verdana" w:hAnsi="Verdana" w:cs="Verdana"/>
        <w:color w:val="000000"/>
        <w:sz w:val="20"/>
        <w:szCs w:val="20"/>
      </w:rPr>
      <w:t xml:space="preserve">                </w:t>
    </w:r>
    <w:r>
      <w:rPr>
        <w:rFonts w:ascii="Verdana" w:eastAsia="Verdana" w:hAnsi="Verdana" w:cs="Verdana"/>
        <w:color w:val="000000"/>
        <w:sz w:val="20"/>
        <w:szCs w:val="20"/>
      </w:rPr>
      <w:tab/>
    </w:r>
    <w:r>
      <w:rPr>
        <w:rFonts w:ascii="Verdana" w:eastAsia="Verdana" w:hAnsi="Verdana" w:cs="Verdana"/>
        <w:color w:val="000000"/>
        <w:sz w:val="20"/>
        <w:szCs w:val="20"/>
      </w:rPr>
      <w:tab/>
      <w:t xml:space="preserve">           </w:t>
    </w:r>
    <w:r>
      <w:rPr>
        <w:rFonts w:ascii="Verdana" w:eastAsia="Verdana" w:hAnsi="Verdana" w:cs="Verdana"/>
        <w:sz w:val="20"/>
        <w:szCs w:val="20"/>
      </w:rPr>
      <w:t xml:space="preserve">    </w:t>
    </w:r>
    <w:r>
      <w:rPr>
        <w:rFonts w:ascii="Verdana" w:eastAsia="Verdana" w:hAnsi="Verdana" w:cs="Verdana"/>
        <w:color w:val="000000"/>
        <w:sz w:val="20"/>
        <w:szCs w:val="20"/>
      </w:rPr>
      <w:t xml:space="preserve">                   </w:t>
    </w:r>
    <w:r>
      <w:rPr>
        <w:rFonts w:ascii="Verdana" w:eastAsia="Verdana" w:hAnsi="Verdana" w:cs="Verdana"/>
        <w:b/>
        <w:color w:val="70AD47"/>
        <w:sz w:val="20"/>
        <w:szCs w:val="20"/>
      </w:rPr>
      <w:t>LawLessons.ca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265A2" w14:textId="77777777" w:rsidR="003F1857" w:rsidRDefault="003F1857">
    <w:pPr>
      <w:pBdr>
        <w:top w:val="nil"/>
        <w:left w:val="nil"/>
        <w:bottom w:val="nil"/>
        <w:right w:val="nil"/>
        <w:between w:val="nil"/>
      </w:pBdr>
      <w:tabs>
        <w:tab w:val="center" w:pos="4680"/>
        <w:tab w:val="right" w:pos="9360"/>
      </w:tabs>
      <w:rPr>
        <w:rFonts w:ascii="Berthold Akzidenz Grotesk" w:eastAsia="Berthold Akzidenz Grotesk" w:hAnsi="Berthold Akzidenz Grotesk" w:cs="Berthold Akzidenz Grotesk"/>
        <w:color w:val="646A69"/>
        <w:sz w:val="18"/>
        <w:szCs w:val="18"/>
      </w:rPr>
    </w:pPr>
  </w:p>
  <w:p w14:paraId="7F61EA90" w14:textId="77777777" w:rsidR="003F1857" w:rsidRDefault="008A3906">
    <w:pPr>
      <w:pBdr>
        <w:top w:val="nil"/>
        <w:left w:val="nil"/>
        <w:bottom w:val="nil"/>
        <w:right w:val="nil"/>
        <w:between w:val="nil"/>
      </w:pBdr>
      <w:tabs>
        <w:tab w:val="center" w:pos="4680"/>
        <w:tab w:val="right" w:pos="9360"/>
        <w:tab w:val="right" w:pos="10773"/>
      </w:tabs>
      <w:rPr>
        <w:rFonts w:ascii="Berthold Akzidenz Grotesk" w:eastAsia="Berthold Akzidenz Grotesk" w:hAnsi="Berthold Akzidenz Grotesk" w:cs="Berthold Akzidenz Grotesk"/>
        <w:color w:val="646A69"/>
        <w:sz w:val="20"/>
        <w:szCs w:val="20"/>
      </w:rPr>
    </w:pPr>
    <w:r>
      <w:rPr>
        <w:rFonts w:ascii="Verdana" w:eastAsia="Verdana" w:hAnsi="Verdana" w:cs="Verdana"/>
        <w:b/>
        <w:color w:val="70AD47"/>
        <w:sz w:val="20"/>
        <w:szCs w:val="20"/>
      </w:rPr>
      <w:t xml:space="preserve">JusticeEducation.ca                  </w:t>
    </w:r>
    <w:r>
      <w:rPr>
        <w:rFonts w:ascii="Verdana" w:eastAsia="Verdana" w:hAnsi="Verdana" w:cs="Verdana"/>
        <w:color w:val="70AD47"/>
        <w:sz w:val="20"/>
        <w:szCs w:val="20"/>
      </w:rPr>
      <w:t xml:space="preserve"> </w:t>
    </w:r>
    <w:r>
      <w:rPr>
        <w:rFonts w:ascii="Verdana" w:eastAsia="Verdana" w:hAnsi="Verdana" w:cs="Verdana"/>
        <w:color w:val="000000"/>
        <w:sz w:val="20"/>
        <w:szCs w:val="20"/>
      </w:rPr>
      <w:t xml:space="preserve">      </w:t>
    </w:r>
    <w:r>
      <w:rPr>
        <w:rFonts w:ascii="Verdana" w:eastAsia="Verdana" w:hAnsi="Verdana" w:cs="Verdana"/>
        <w:color w:val="000000"/>
        <w:sz w:val="20"/>
        <w:szCs w:val="20"/>
      </w:rPr>
      <w:tab/>
    </w:r>
    <w:r>
      <w:rPr>
        <w:rFonts w:ascii="Verdana" w:eastAsia="Verdana" w:hAnsi="Verdana" w:cs="Verdana"/>
        <w:color w:val="000000"/>
        <w:sz w:val="20"/>
        <w:szCs w:val="20"/>
      </w:rPr>
      <w:tab/>
      <w:t xml:space="preserve">        </w:t>
    </w:r>
    <w:r>
      <w:rPr>
        <w:rFonts w:ascii="Verdana" w:eastAsia="Verdana" w:hAnsi="Verdana" w:cs="Verdana"/>
        <w:b/>
        <w:color w:val="70AD47"/>
        <w:sz w:val="20"/>
        <w:szCs w:val="20"/>
      </w:rPr>
      <w:t>LawLessons.ca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E279E" w14:textId="77777777" w:rsidR="00296E15" w:rsidRDefault="00296E15">
      <w:r>
        <w:separator/>
      </w:r>
    </w:p>
  </w:footnote>
  <w:footnote w:type="continuationSeparator" w:id="0">
    <w:p w14:paraId="57F3226B" w14:textId="77777777" w:rsidR="00296E15" w:rsidRDefault="00296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BEB48" w14:textId="77777777" w:rsidR="003F1857" w:rsidRDefault="003F185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25BA9" w14:textId="6215391D" w:rsidR="003F1857" w:rsidRDefault="008A3906">
    <w:pPr>
      <w:pBdr>
        <w:top w:val="nil"/>
        <w:left w:val="nil"/>
        <w:bottom w:val="nil"/>
        <w:right w:val="nil"/>
        <w:between w:val="nil"/>
      </w:pBdr>
      <w:rPr>
        <w:rFonts w:ascii="Times New Roman" w:eastAsia="Times New Roman" w:hAnsi="Times New Roman" w:cs="Times New Roman"/>
        <w:color w:val="000000"/>
      </w:rPr>
    </w:pPr>
    <w:r>
      <w:rPr>
        <w:b/>
        <w:color w:val="636A69"/>
      </w:rPr>
      <w:t xml:space="preserve">Subject </w:t>
    </w:r>
    <w:r w:rsidR="00E133D3">
      <w:rPr>
        <w:b/>
        <w:color w:val="636A69"/>
      </w:rPr>
      <w:t>–</w:t>
    </w:r>
    <w:r>
      <w:rPr>
        <w:b/>
        <w:color w:val="636A69"/>
      </w:rPr>
      <w:t xml:space="preserve"> </w:t>
    </w:r>
    <w:r w:rsidR="00E133D3">
      <w:rPr>
        <w:b/>
        <w:color w:val="636A69"/>
      </w:rPr>
      <w:t>Law Studies 12</w:t>
    </w:r>
    <w:r>
      <w:rPr>
        <w:noProof/>
      </w:rPr>
      <w:drawing>
        <wp:anchor distT="0" distB="0" distL="114300" distR="114300" simplePos="0" relativeHeight="251658240" behindDoc="0" locked="0" layoutInCell="1" hidden="0" allowOverlap="1" wp14:anchorId="26C95F1E" wp14:editId="1652D9A4">
          <wp:simplePos x="0" y="0"/>
          <wp:positionH relativeFrom="column">
            <wp:posOffset>5514340</wp:posOffset>
          </wp:positionH>
          <wp:positionV relativeFrom="paragraph">
            <wp:posOffset>-176528</wp:posOffset>
          </wp:positionV>
          <wp:extent cx="1341755" cy="787400"/>
          <wp:effectExtent l="0" t="0" r="0" b="0"/>
          <wp:wrapSquare wrapText="bothSides" distT="0" distB="0" distL="114300" distR="11430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9" r="-19"/>
                  <a:stretch>
                    <a:fillRect/>
                  </a:stretch>
                </pic:blipFill>
                <pic:spPr>
                  <a:xfrm>
                    <a:off x="0" y="0"/>
                    <a:ext cx="1341755" cy="787400"/>
                  </a:xfrm>
                  <a:prstGeom prst="rect">
                    <a:avLst/>
                  </a:prstGeom>
                  <a:ln/>
                </pic:spPr>
              </pic:pic>
            </a:graphicData>
          </a:graphic>
        </wp:anchor>
      </w:drawing>
    </w:r>
  </w:p>
  <w:p w14:paraId="04A31786" w14:textId="65453FBC" w:rsidR="003F1857" w:rsidRDefault="008A3906">
    <w:pPr>
      <w:rPr>
        <w:rFonts w:ascii="Times New Roman" w:eastAsia="Times New Roman" w:hAnsi="Times New Roman" w:cs="Times New Roman"/>
      </w:rPr>
    </w:pPr>
    <w:r>
      <w:rPr>
        <w:b/>
        <w:color w:val="636A69"/>
      </w:rPr>
      <w:t xml:space="preserve">Topic </w:t>
    </w:r>
    <w:r w:rsidR="00E133D3">
      <w:rPr>
        <w:b/>
        <w:color w:val="636A69"/>
      </w:rPr>
      <w:t>–</w:t>
    </w:r>
    <w:r>
      <w:rPr>
        <w:b/>
        <w:color w:val="636A69"/>
      </w:rPr>
      <w:t xml:space="preserve"> </w:t>
    </w:r>
    <w:r w:rsidR="00E133D3">
      <w:rPr>
        <w:b/>
        <w:color w:val="636A69"/>
      </w:rPr>
      <w:t>Aboriginal Law</w:t>
    </w:r>
  </w:p>
  <w:p w14:paraId="7FCA1AD6" w14:textId="77777777" w:rsidR="003F1857" w:rsidRDefault="003F1857">
    <w:pPr>
      <w:pBdr>
        <w:top w:val="nil"/>
        <w:left w:val="nil"/>
        <w:bottom w:val="nil"/>
        <w:right w:val="nil"/>
        <w:between w:val="nil"/>
      </w:pBdr>
      <w:tabs>
        <w:tab w:val="center" w:pos="4680"/>
        <w:tab w:val="right" w:pos="9360"/>
      </w:tabs>
      <w:jc w:val="right"/>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B4370" w14:textId="77777777" w:rsidR="003F1857" w:rsidRDefault="008A3906">
    <w:pPr>
      <w:pBdr>
        <w:top w:val="nil"/>
        <w:left w:val="nil"/>
        <w:bottom w:val="nil"/>
        <w:right w:val="nil"/>
        <w:between w:val="nil"/>
      </w:pBdr>
      <w:rPr>
        <w:rFonts w:ascii="Times New Roman" w:eastAsia="Times New Roman" w:hAnsi="Times New Roman" w:cs="Times New Roman"/>
        <w:color w:val="000000"/>
      </w:rPr>
    </w:pPr>
    <w:r>
      <w:rPr>
        <w:b/>
        <w:color w:val="636A69"/>
      </w:rPr>
      <w:t>Subject - Grade Level</w:t>
    </w:r>
    <w:r>
      <w:rPr>
        <w:noProof/>
      </w:rPr>
      <w:drawing>
        <wp:anchor distT="0" distB="0" distL="114300" distR="114300" simplePos="0" relativeHeight="251659264" behindDoc="0" locked="0" layoutInCell="1" hidden="0" allowOverlap="1" wp14:anchorId="037436F5" wp14:editId="1C6D0855">
          <wp:simplePos x="0" y="0"/>
          <wp:positionH relativeFrom="column">
            <wp:posOffset>5514340</wp:posOffset>
          </wp:positionH>
          <wp:positionV relativeFrom="paragraph">
            <wp:posOffset>-176528</wp:posOffset>
          </wp:positionV>
          <wp:extent cx="1341755" cy="787400"/>
          <wp:effectExtent l="0" t="0" r="0" b="0"/>
          <wp:wrapSquare wrapText="bothSides" distT="0" distB="0" distL="114300" distR="11430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9" r="-19"/>
                  <a:stretch>
                    <a:fillRect/>
                  </a:stretch>
                </pic:blipFill>
                <pic:spPr>
                  <a:xfrm>
                    <a:off x="0" y="0"/>
                    <a:ext cx="1341755" cy="787400"/>
                  </a:xfrm>
                  <a:prstGeom prst="rect">
                    <a:avLst/>
                  </a:prstGeom>
                  <a:ln/>
                </pic:spPr>
              </pic:pic>
            </a:graphicData>
          </a:graphic>
        </wp:anchor>
      </w:drawing>
    </w:r>
  </w:p>
  <w:p w14:paraId="36C6DC3B" w14:textId="77777777" w:rsidR="003F1857" w:rsidRDefault="008A3906">
    <w:pPr>
      <w:rPr>
        <w:rFonts w:ascii="Times New Roman" w:eastAsia="Times New Roman" w:hAnsi="Times New Roman" w:cs="Times New Roman"/>
      </w:rPr>
    </w:pPr>
    <w:r>
      <w:rPr>
        <w:b/>
        <w:color w:val="636A69"/>
      </w:rPr>
      <w:t>Topic - Material Descriptor</w:t>
    </w:r>
  </w:p>
  <w:p w14:paraId="05FB9449" w14:textId="77777777" w:rsidR="003F1857" w:rsidRDefault="008A3906">
    <w:pPr>
      <w:pBdr>
        <w:top w:val="nil"/>
        <w:left w:val="nil"/>
        <w:bottom w:val="nil"/>
        <w:right w:val="nil"/>
        <w:between w:val="nil"/>
      </w:pBdr>
      <w:tabs>
        <w:tab w:val="center" w:pos="4680"/>
        <w:tab w:val="right" w:pos="9360"/>
        <w:tab w:val="left" w:pos="853"/>
        <w:tab w:val="center" w:pos="9923"/>
        <w:tab w:val="right" w:pos="10800"/>
      </w:tabs>
      <w:rPr>
        <w:color w:val="000000"/>
      </w:rPr>
    </w:pPr>
    <w:r>
      <w:rPr>
        <w:color w:val="000000"/>
      </w:rPr>
      <w:tab/>
    </w:r>
    <w:r>
      <w:rPr>
        <w:color w:val="000000"/>
      </w:rPr>
      <w:tab/>
    </w:r>
  </w:p>
  <w:p w14:paraId="1F74679F" w14:textId="77777777" w:rsidR="003F1857" w:rsidRDefault="003F1857">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0353A"/>
    <w:multiLevelType w:val="multilevel"/>
    <w:tmpl w:val="6B3A174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BF912E2"/>
    <w:multiLevelType w:val="multilevel"/>
    <w:tmpl w:val="1362E87C"/>
    <w:lvl w:ilvl="0">
      <w:start w:val="1"/>
      <w:numFmt w:val="bullet"/>
      <w:lvlText w:val="o"/>
      <w:lvlJc w:val="left"/>
      <w:pPr>
        <w:ind w:left="2160" w:hanging="360"/>
      </w:pPr>
      <w:rPr>
        <w:rFonts w:ascii="Courier New" w:eastAsia="Courier New" w:hAnsi="Courier New" w:cs="Courier New"/>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2" w15:restartNumberingAfterBreak="0">
    <w:nsid w:val="1DB432E6"/>
    <w:multiLevelType w:val="multilevel"/>
    <w:tmpl w:val="A44C7A86"/>
    <w:lvl w:ilvl="0">
      <w:start w:val="1"/>
      <w:numFmt w:val="bullet"/>
      <w:lvlText w:val="o"/>
      <w:lvlJc w:val="left"/>
      <w:pPr>
        <w:ind w:left="1445" w:hanging="360"/>
      </w:pPr>
      <w:rPr>
        <w:rFonts w:ascii="Courier New" w:eastAsia="Courier New" w:hAnsi="Courier New" w:cs="Courier New"/>
      </w:rPr>
    </w:lvl>
    <w:lvl w:ilvl="1">
      <w:start w:val="1"/>
      <w:numFmt w:val="bullet"/>
      <w:lvlText w:val="o"/>
      <w:lvlJc w:val="left"/>
      <w:pPr>
        <w:ind w:left="2165" w:hanging="360"/>
      </w:pPr>
      <w:rPr>
        <w:rFonts w:ascii="Courier New" w:eastAsia="Courier New" w:hAnsi="Courier New" w:cs="Courier New"/>
      </w:rPr>
    </w:lvl>
    <w:lvl w:ilvl="2">
      <w:start w:val="1"/>
      <w:numFmt w:val="bullet"/>
      <w:lvlText w:val="▪"/>
      <w:lvlJc w:val="left"/>
      <w:pPr>
        <w:ind w:left="2885" w:hanging="360"/>
      </w:pPr>
      <w:rPr>
        <w:rFonts w:ascii="Noto Sans Symbols" w:eastAsia="Noto Sans Symbols" w:hAnsi="Noto Sans Symbols" w:cs="Noto Sans Symbols"/>
      </w:rPr>
    </w:lvl>
    <w:lvl w:ilvl="3">
      <w:start w:val="1"/>
      <w:numFmt w:val="bullet"/>
      <w:lvlText w:val="●"/>
      <w:lvlJc w:val="left"/>
      <w:pPr>
        <w:ind w:left="3605" w:hanging="360"/>
      </w:pPr>
      <w:rPr>
        <w:rFonts w:ascii="Noto Sans Symbols" w:eastAsia="Noto Sans Symbols" w:hAnsi="Noto Sans Symbols" w:cs="Noto Sans Symbols"/>
      </w:rPr>
    </w:lvl>
    <w:lvl w:ilvl="4">
      <w:start w:val="1"/>
      <w:numFmt w:val="bullet"/>
      <w:lvlText w:val="o"/>
      <w:lvlJc w:val="left"/>
      <w:pPr>
        <w:ind w:left="4325" w:hanging="360"/>
      </w:pPr>
      <w:rPr>
        <w:rFonts w:ascii="Courier New" w:eastAsia="Courier New" w:hAnsi="Courier New" w:cs="Courier New"/>
      </w:rPr>
    </w:lvl>
    <w:lvl w:ilvl="5">
      <w:start w:val="1"/>
      <w:numFmt w:val="bullet"/>
      <w:lvlText w:val="▪"/>
      <w:lvlJc w:val="left"/>
      <w:pPr>
        <w:ind w:left="5045" w:hanging="360"/>
      </w:pPr>
      <w:rPr>
        <w:rFonts w:ascii="Noto Sans Symbols" w:eastAsia="Noto Sans Symbols" w:hAnsi="Noto Sans Symbols" w:cs="Noto Sans Symbols"/>
      </w:rPr>
    </w:lvl>
    <w:lvl w:ilvl="6">
      <w:start w:val="1"/>
      <w:numFmt w:val="bullet"/>
      <w:lvlText w:val="●"/>
      <w:lvlJc w:val="left"/>
      <w:pPr>
        <w:ind w:left="5765" w:hanging="360"/>
      </w:pPr>
      <w:rPr>
        <w:rFonts w:ascii="Noto Sans Symbols" w:eastAsia="Noto Sans Symbols" w:hAnsi="Noto Sans Symbols" w:cs="Noto Sans Symbols"/>
      </w:rPr>
    </w:lvl>
    <w:lvl w:ilvl="7">
      <w:start w:val="1"/>
      <w:numFmt w:val="bullet"/>
      <w:lvlText w:val="o"/>
      <w:lvlJc w:val="left"/>
      <w:pPr>
        <w:ind w:left="6485" w:hanging="360"/>
      </w:pPr>
      <w:rPr>
        <w:rFonts w:ascii="Courier New" w:eastAsia="Courier New" w:hAnsi="Courier New" w:cs="Courier New"/>
      </w:rPr>
    </w:lvl>
    <w:lvl w:ilvl="8">
      <w:start w:val="1"/>
      <w:numFmt w:val="bullet"/>
      <w:lvlText w:val="▪"/>
      <w:lvlJc w:val="left"/>
      <w:pPr>
        <w:ind w:left="7205" w:hanging="360"/>
      </w:pPr>
      <w:rPr>
        <w:rFonts w:ascii="Noto Sans Symbols" w:eastAsia="Noto Sans Symbols" w:hAnsi="Noto Sans Symbols" w:cs="Noto Sans Symbols"/>
      </w:rPr>
    </w:lvl>
  </w:abstractNum>
  <w:abstractNum w:abstractNumId="3" w15:restartNumberingAfterBreak="0">
    <w:nsid w:val="21142B91"/>
    <w:multiLevelType w:val="multilevel"/>
    <w:tmpl w:val="222AFA38"/>
    <w:lvl w:ilvl="0">
      <w:start w:val="1"/>
      <w:numFmt w:val="bullet"/>
      <w:lvlText w:val="o"/>
      <w:lvlJc w:val="left"/>
      <w:pPr>
        <w:ind w:left="2160" w:hanging="360"/>
      </w:pPr>
      <w:rPr>
        <w:rFonts w:ascii="Courier New" w:eastAsia="Courier New" w:hAnsi="Courier New" w:cs="Courier New"/>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4" w15:restartNumberingAfterBreak="0">
    <w:nsid w:val="295B439B"/>
    <w:multiLevelType w:val="multilevel"/>
    <w:tmpl w:val="A962AA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1AD7998"/>
    <w:multiLevelType w:val="hybridMultilevel"/>
    <w:tmpl w:val="21AC21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1FF4BBF"/>
    <w:multiLevelType w:val="multilevel"/>
    <w:tmpl w:val="5D3892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BE92575"/>
    <w:multiLevelType w:val="multilevel"/>
    <w:tmpl w:val="83B424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B70556F"/>
    <w:multiLevelType w:val="hybridMultilevel"/>
    <w:tmpl w:val="9D9CD6C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59F552ED"/>
    <w:multiLevelType w:val="multilevel"/>
    <w:tmpl w:val="2968E0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0BF13E9"/>
    <w:multiLevelType w:val="multilevel"/>
    <w:tmpl w:val="EC0AC2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6393A7D"/>
    <w:multiLevelType w:val="multilevel"/>
    <w:tmpl w:val="194C00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72630CA"/>
    <w:multiLevelType w:val="multilevel"/>
    <w:tmpl w:val="C186C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3"/>
  </w:num>
  <w:num w:numId="4">
    <w:abstractNumId w:val="11"/>
  </w:num>
  <w:num w:numId="5">
    <w:abstractNumId w:val="1"/>
  </w:num>
  <w:num w:numId="6">
    <w:abstractNumId w:val="7"/>
  </w:num>
  <w:num w:numId="7">
    <w:abstractNumId w:val="6"/>
  </w:num>
  <w:num w:numId="8">
    <w:abstractNumId w:val="2"/>
  </w:num>
  <w:num w:numId="9">
    <w:abstractNumId w:val="10"/>
  </w:num>
  <w:num w:numId="10">
    <w:abstractNumId w:val="9"/>
  </w:num>
  <w:num w:numId="11">
    <w:abstractNumId w:val="8"/>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857"/>
    <w:rsid w:val="000C6CAB"/>
    <w:rsid w:val="00296E15"/>
    <w:rsid w:val="003F1857"/>
    <w:rsid w:val="006608E3"/>
    <w:rsid w:val="008A3906"/>
    <w:rsid w:val="00931CE4"/>
    <w:rsid w:val="00D44BBE"/>
    <w:rsid w:val="00E133D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B30AC"/>
  <w15:docId w15:val="{85AD139A-E7C0-4C76-99B3-7E0C1C6BD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070715"/>
    <w:pPr>
      <w:tabs>
        <w:tab w:val="center" w:pos="4680"/>
        <w:tab w:val="right" w:pos="9360"/>
      </w:tabs>
    </w:pPr>
  </w:style>
  <w:style w:type="character" w:customStyle="1" w:styleId="HeaderChar">
    <w:name w:val="Header Char"/>
    <w:basedOn w:val="DefaultParagraphFont"/>
    <w:link w:val="Header"/>
    <w:uiPriority w:val="99"/>
    <w:rsid w:val="00070715"/>
  </w:style>
  <w:style w:type="paragraph" w:styleId="Footer">
    <w:name w:val="footer"/>
    <w:basedOn w:val="Normal"/>
    <w:link w:val="FooterChar"/>
    <w:uiPriority w:val="99"/>
    <w:unhideWhenUsed/>
    <w:rsid w:val="00070715"/>
    <w:pPr>
      <w:tabs>
        <w:tab w:val="center" w:pos="4680"/>
        <w:tab w:val="right" w:pos="9360"/>
      </w:tabs>
    </w:pPr>
  </w:style>
  <w:style w:type="character" w:customStyle="1" w:styleId="FooterChar">
    <w:name w:val="Footer Char"/>
    <w:basedOn w:val="DefaultParagraphFont"/>
    <w:link w:val="Footer"/>
    <w:uiPriority w:val="99"/>
    <w:rsid w:val="00070715"/>
  </w:style>
  <w:style w:type="paragraph" w:styleId="BalloonText">
    <w:name w:val="Balloon Text"/>
    <w:basedOn w:val="Normal"/>
    <w:link w:val="BalloonTextChar"/>
    <w:uiPriority w:val="99"/>
    <w:semiHidden/>
    <w:unhideWhenUsed/>
    <w:rsid w:val="000707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70715"/>
    <w:rPr>
      <w:rFonts w:ascii="Times New Roman" w:hAnsi="Times New Roman" w:cs="Times New Roman"/>
      <w:sz w:val="18"/>
      <w:szCs w:val="18"/>
    </w:rPr>
  </w:style>
  <w:style w:type="paragraph" w:styleId="NormalWeb">
    <w:name w:val="Normal (Web)"/>
    <w:basedOn w:val="Normal"/>
    <w:uiPriority w:val="99"/>
    <w:semiHidden/>
    <w:unhideWhenUsed/>
    <w:rsid w:val="0040203E"/>
    <w:pPr>
      <w:spacing w:before="100" w:beforeAutospacing="1" w:after="100" w:afterAutospacing="1"/>
    </w:pPr>
    <w:rPr>
      <w:rFonts w:ascii="Times New Roman" w:eastAsia="Times New Roman" w:hAnsi="Times New Roman" w:cs="Times New Roman"/>
    </w:rPr>
  </w:style>
  <w:style w:type="paragraph" w:customStyle="1" w:styleId="Body">
    <w:name w:val="Body"/>
    <w:basedOn w:val="Normal"/>
    <w:uiPriority w:val="99"/>
    <w:rsid w:val="00362349"/>
    <w:pPr>
      <w:suppressAutoHyphens/>
      <w:autoSpaceDE w:val="0"/>
      <w:autoSpaceDN w:val="0"/>
      <w:adjustRightInd w:val="0"/>
      <w:spacing w:before="180" w:line="300" w:lineRule="atLeast"/>
      <w:textAlignment w:val="center"/>
    </w:pPr>
    <w:rPr>
      <w:rFonts w:ascii="AkzidenzGroteskBE-Light" w:hAnsi="AkzidenzGroteskBE-Light" w:cs="AkzidenzGroteskBE-Light"/>
      <w:color w:val="000000"/>
      <w:sz w:val="22"/>
      <w:szCs w:val="22"/>
      <w:lang w:val="en-US"/>
    </w:rPr>
  </w:style>
  <w:style w:type="character" w:styleId="Hyperlink">
    <w:name w:val="Hyperlink"/>
    <w:basedOn w:val="DefaultParagraphFont"/>
    <w:uiPriority w:val="99"/>
    <w:unhideWhenUsed/>
    <w:rsid w:val="00966023"/>
    <w:rPr>
      <w:color w:val="0563C1" w:themeColor="hyperlink"/>
      <w:u w:val="single"/>
    </w:rPr>
  </w:style>
  <w:style w:type="character" w:customStyle="1" w:styleId="UnresolvedMention1">
    <w:name w:val="Unresolved Mention1"/>
    <w:basedOn w:val="DefaultParagraphFont"/>
    <w:uiPriority w:val="99"/>
    <w:semiHidden/>
    <w:unhideWhenUsed/>
    <w:rsid w:val="00966023"/>
    <w:rPr>
      <w:color w:val="605E5C"/>
      <w:shd w:val="clear" w:color="auto" w:fill="E1DFDD"/>
    </w:rPr>
  </w:style>
  <w:style w:type="character" w:styleId="PageNumber">
    <w:name w:val="page number"/>
    <w:basedOn w:val="DefaultParagraphFont"/>
    <w:uiPriority w:val="99"/>
    <w:semiHidden/>
    <w:unhideWhenUsed/>
    <w:rsid w:val="00F07A25"/>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numbering" w:customStyle="1" w:styleId="NoList1">
    <w:name w:val="No List1"/>
    <w:next w:val="NoList"/>
    <w:uiPriority w:val="99"/>
    <w:semiHidden/>
    <w:unhideWhenUsed/>
    <w:rsid w:val="00E133D3"/>
  </w:style>
  <w:style w:type="character" w:styleId="UnresolvedMention">
    <w:name w:val="Unresolved Mention"/>
    <w:basedOn w:val="DefaultParagraphFont"/>
    <w:uiPriority w:val="99"/>
    <w:semiHidden/>
    <w:unhideWhenUsed/>
    <w:rsid w:val="00E133D3"/>
    <w:rPr>
      <w:color w:val="605E5C"/>
      <w:shd w:val="clear" w:color="auto" w:fill="E1DFDD"/>
    </w:rPr>
  </w:style>
  <w:style w:type="paragraph" w:customStyle="1" w:styleId="description">
    <w:name w:val="description"/>
    <w:basedOn w:val="Normal"/>
    <w:rsid w:val="00E133D3"/>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E133D3"/>
    <w:rPr>
      <w:i/>
      <w:iCs/>
    </w:rPr>
  </w:style>
  <w:style w:type="paragraph" w:styleId="Bibliography">
    <w:name w:val="Bibliography"/>
    <w:basedOn w:val="Normal"/>
    <w:next w:val="Normal"/>
    <w:uiPriority w:val="37"/>
    <w:unhideWhenUsed/>
    <w:rsid w:val="00E133D3"/>
    <w:pPr>
      <w:spacing w:after="160"/>
    </w:pPr>
    <w:rPr>
      <w:sz w:val="22"/>
      <w:szCs w:val="22"/>
      <w:lang w:val="en-US" w:eastAsia="en-US"/>
    </w:rPr>
  </w:style>
  <w:style w:type="character" w:styleId="Strong">
    <w:name w:val="Strong"/>
    <w:basedOn w:val="DefaultParagraphFont"/>
    <w:uiPriority w:val="22"/>
    <w:qFormat/>
    <w:rsid w:val="00E133D3"/>
    <w:rPr>
      <w:b/>
      <w:bCs/>
    </w:rPr>
  </w:style>
  <w:style w:type="paragraph" w:styleId="ListParagraph">
    <w:name w:val="List Paragraph"/>
    <w:basedOn w:val="Normal"/>
    <w:qFormat/>
    <w:rsid w:val="00E133D3"/>
    <w:pPr>
      <w:spacing w:after="160"/>
      <w:ind w:left="720"/>
      <w:contextualSpacing/>
    </w:pPr>
    <w:rPr>
      <w:sz w:val="22"/>
      <w:szCs w:val="22"/>
      <w:lang w:val="en-US" w:eastAsia="en-US"/>
    </w:rPr>
  </w:style>
  <w:style w:type="table" w:styleId="TableGrid">
    <w:name w:val="Table Grid"/>
    <w:basedOn w:val="TableNormal"/>
    <w:uiPriority w:val="39"/>
    <w:rsid w:val="00E133D3"/>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133D3"/>
    <w:rPr>
      <w:color w:val="954F72" w:themeColor="followedHyperlink"/>
      <w:u w:val="single"/>
    </w:rPr>
  </w:style>
  <w:style w:type="character" w:customStyle="1" w:styleId="Heading1Char">
    <w:name w:val="Heading 1 Char"/>
    <w:basedOn w:val="DefaultParagraphFont"/>
    <w:link w:val="Heading1"/>
    <w:uiPriority w:val="9"/>
    <w:rsid w:val="00E133D3"/>
    <w:rPr>
      <w:b/>
      <w:sz w:val="48"/>
      <w:szCs w:val="48"/>
    </w:rPr>
  </w:style>
  <w:style w:type="character" w:customStyle="1" w:styleId="Heading2Char">
    <w:name w:val="Heading 2 Char"/>
    <w:basedOn w:val="DefaultParagraphFont"/>
    <w:link w:val="Heading2"/>
    <w:uiPriority w:val="9"/>
    <w:semiHidden/>
    <w:rsid w:val="00E133D3"/>
    <w:rPr>
      <w:b/>
      <w:sz w:val="36"/>
      <w:szCs w:val="36"/>
    </w:rPr>
  </w:style>
  <w:style w:type="character" w:customStyle="1" w:styleId="Heading3Char">
    <w:name w:val="Heading 3 Char"/>
    <w:basedOn w:val="DefaultParagraphFont"/>
    <w:link w:val="Heading3"/>
    <w:uiPriority w:val="9"/>
    <w:semiHidden/>
    <w:rsid w:val="00E133D3"/>
    <w:rPr>
      <w:b/>
      <w:sz w:val="28"/>
      <w:szCs w:val="28"/>
    </w:rPr>
  </w:style>
  <w:style w:type="paragraph" w:customStyle="1" w:styleId="nav-item">
    <w:name w:val="nav-item"/>
    <w:basedOn w:val="Normal"/>
    <w:rsid w:val="00E133D3"/>
    <w:pPr>
      <w:spacing w:before="100" w:beforeAutospacing="1" w:after="100" w:afterAutospacing="1"/>
    </w:pPr>
    <w:rPr>
      <w:rFonts w:ascii="Times New Roman" w:eastAsia="Times New Roman" w:hAnsi="Times New Roman" w:cs="Times New Roman"/>
    </w:rPr>
  </w:style>
  <w:style w:type="character" w:customStyle="1" w:styleId="decision">
    <w:name w:val="decision"/>
    <w:basedOn w:val="DefaultParagraphFont"/>
    <w:rsid w:val="00E133D3"/>
  </w:style>
  <w:style w:type="character" w:customStyle="1" w:styleId="Heading4Char">
    <w:name w:val="Heading 4 Char"/>
    <w:basedOn w:val="DefaultParagraphFont"/>
    <w:link w:val="Heading4"/>
    <w:uiPriority w:val="9"/>
    <w:semiHidden/>
    <w:rsid w:val="00E133D3"/>
    <w:rPr>
      <w:b/>
    </w:rPr>
  </w:style>
  <w:style w:type="paragraph" w:customStyle="1" w:styleId="ListParagraphindent">
    <w:name w:val="List Paragraph indent"/>
    <w:basedOn w:val="ListParagraph"/>
    <w:rsid w:val="00E133D3"/>
    <w:pPr>
      <w:tabs>
        <w:tab w:val="num" w:pos="-360"/>
        <w:tab w:val="left" w:pos="480"/>
      </w:tabs>
      <w:spacing w:after="40"/>
      <w:ind w:left="1080" w:hanging="360"/>
      <w:contextualSpacing w:val="0"/>
    </w:pPr>
    <w:rPr>
      <w:rFonts w:ascii="Helvetica" w:eastAsia="Times New Roman" w:hAnsi="Helvetica" w:cstheme="minorHAnsi"/>
      <w:sz w:val="20"/>
      <w:szCs w:val="20"/>
      <w:lang w:val="en-CA" w:eastAsia="en-CA"/>
    </w:rPr>
  </w:style>
  <w:style w:type="paragraph" w:customStyle="1" w:styleId="Topicsub">
    <w:name w:val="Topic sub"/>
    <w:basedOn w:val="Normal"/>
    <w:rsid w:val="00E133D3"/>
    <w:pPr>
      <w:spacing w:after="60"/>
    </w:pPr>
    <w:rPr>
      <w:rFonts w:ascii="Arial" w:eastAsia="Times New Roman" w:hAnsi="Arial" w:cs="Times New Roman"/>
      <w:i/>
      <w:sz w:val="20"/>
      <w:lang w:val="en-US" w:eastAsia="en-US"/>
    </w:rPr>
  </w:style>
  <w:style w:type="paragraph" w:styleId="Revision">
    <w:name w:val="Revision"/>
    <w:hidden/>
    <w:uiPriority w:val="99"/>
    <w:semiHidden/>
    <w:rsid w:val="00E133D3"/>
    <w:rPr>
      <w:sz w:val="22"/>
      <w:szCs w:val="22"/>
      <w:lang w:val="en-US" w:eastAsia="en-US"/>
    </w:rPr>
  </w:style>
  <w:style w:type="character" w:styleId="CommentReference">
    <w:name w:val="annotation reference"/>
    <w:basedOn w:val="DefaultParagraphFont"/>
    <w:uiPriority w:val="99"/>
    <w:semiHidden/>
    <w:unhideWhenUsed/>
    <w:rsid w:val="00E133D3"/>
    <w:rPr>
      <w:sz w:val="16"/>
      <w:szCs w:val="16"/>
    </w:rPr>
  </w:style>
  <w:style w:type="paragraph" w:styleId="CommentText">
    <w:name w:val="annotation text"/>
    <w:basedOn w:val="Normal"/>
    <w:link w:val="CommentTextChar"/>
    <w:uiPriority w:val="99"/>
    <w:semiHidden/>
    <w:unhideWhenUsed/>
    <w:rsid w:val="00E133D3"/>
    <w:pPr>
      <w:spacing w:after="160"/>
    </w:pPr>
    <w:rPr>
      <w:sz w:val="20"/>
      <w:szCs w:val="20"/>
      <w:lang w:val="en-US" w:eastAsia="en-US"/>
    </w:rPr>
  </w:style>
  <w:style w:type="character" w:customStyle="1" w:styleId="CommentTextChar">
    <w:name w:val="Comment Text Char"/>
    <w:basedOn w:val="DefaultParagraphFont"/>
    <w:link w:val="CommentText"/>
    <w:uiPriority w:val="99"/>
    <w:semiHidden/>
    <w:rsid w:val="00E133D3"/>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E133D3"/>
    <w:rPr>
      <w:b/>
      <w:bCs/>
    </w:rPr>
  </w:style>
  <w:style w:type="character" w:customStyle="1" w:styleId="CommentSubjectChar">
    <w:name w:val="Comment Subject Char"/>
    <w:basedOn w:val="CommentTextChar"/>
    <w:link w:val="CommentSubject"/>
    <w:uiPriority w:val="99"/>
    <w:semiHidden/>
    <w:rsid w:val="00E133D3"/>
    <w:rPr>
      <w:b/>
      <w:bCs/>
      <w:sz w:val="20"/>
      <w:szCs w:val="20"/>
      <w:lang w:val="en-US" w:eastAsia="en-US"/>
    </w:rPr>
  </w:style>
  <w:style w:type="paragraph" w:customStyle="1" w:styleId="court">
    <w:name w:val="court"/>
    <w:basedOn w:val="Normal"/>
    <w:rsid w:val="00E133D3"/>
    <w:pPr>
      <w:spacing w:before="100" w:beforeAutospacing="1" w:after="100" w:afterAutospacing="1"/>
    </w:pPr>
    <w:rPr>
      <w:rFonts w:ascii="Times New Roman" w:eastAsia="Times New Roman" w:hAnsi="Times New Roman" w:cs="Times New Roman"/>
    </w:rPr>
  </w:style>
  <w:style w:type="paragraph" w:customStyle="1" w:styleId="metadata">
    <w:name w:val="metadata"/>
    <w:basedOn w:val="Normal"/>
    <w:rsid w:val="00E133D3"/>
    <w:pPr>
      <w:spacing w:before="100" w:beforeAutospacing="1" w:after="100" w:afterAutospacing="1"/>
    </w:pPr>
    <w:rPr>
      <w:rFonts w:ascii="Times New Roman" w:eastAsia="Times New Roman" w:hAnsi="Times New Roman" w:cs="Times New Roman"/>
    </w:rPr>
  </w:style>
  <w:style w:type="paragraph" w:customStyle="1" w:styleId="keywords">
    <w:name w:val="keywords"/>
    <w:basedOn w:val="Normal"/>
    <w:rsid w:val="00E133D3"/>
    <w:pPr>
      <w:spacing w:before="100" w:beforeAutospacing="1" w:after="100" w:afterAutospacing="1"/>
    </w:pPr>
    <w:rPr>
      <w:rFonts w:ascii="Times New Roman" w:eastAsia="Times New Roman" w:hAnsi="Times New Roman" w:cs="Times New Roman"/>
    </w:rPr>
  </w:style>
  <w:style w:type="paragraph" w:customStyle="1" w:styleId="summary">
    <w:name w:val="summary"/>
    <w:basedOn w:val="Normal"/>
    <w:rsid w:val="00E133D3"/>
    <w:pPr>
      <w:spacing w:before="100" w:beforeAutospacing="1" w:after="100" w:afterAutospacing="1"/>
    </w:pPr>
    <w:rPr>
      <w:rFonts w:ascii="Times New Roman" w:eastAsia="Times New Roman" w:hAnsi="Times New Roman" w:cs="Times New Roman"/>
    </w:rPr>
  </w:style>
  <w:style w:type="character" w:styleId="FootnoteReference">
    <w:name w:val="footnote reference"/>
    <w:basedOn w:val="DefaultParagraphFont"/>
    <w:uiPriority w:val="99"/>
    <w:semiHidden/>
    <w:unhideWhenUsed/>
    <w:rsid w:val="00E133D3"/>
  </w:style>
  <w:style w:type="paragraph" w:customStyle="1" w:styleId="page">
    <w:name w:val="page"/>
    <w:basedOn w:val="Normal"/>
    <w:rsid w:val="00E133D3"/>
    <w:pPr>
      <w:spacing w:before="100" w:beforeAutospacing="1" w:after="100" w:afterAutospacing="1"/>
    </w:pPr>
    <w:rPr>
      <w:rFonts w:ascii="Times New Roman" w:eastAsia="Times New Roman" w:hAnsi="Times New Roman" w:cs="Times New Roman"/>
    </w:rPr>
  </w:style>
  <w:style w:type="paragraph" w:customStyle="1" w:styleId="history">
    <w:name w:val="history"/>
    <w:basedOn w:val="Normal"/>
    <w:rsid w:val="00E133D3"/>
    <w:pPr>
      <w:spacing w:before="100" w:beforeAutospacing="1" w:after="100" w:afterAutospacing="1"/>
    </w:pPr>
    <w:rPr>
      <w:rFonts w:ascii="Times New Roman" w:eastAsia="Times New Roman" w:hAnsi="Times New Roman" w:cs="Times New Roman"/>
    </w:rPr>
  </w:style>
  <w:style w:type="table" w:customStyle="1" w:styleId="TableGrid1">
    <w:name w:val="Table Grid1"/>
    <w:basedOn w:val="TableNormal"/>
    <w:next w:val="TableGrid"/>
    <w:uiPriority w:val="39"/>
    <w:rsid w:val="00E133D3"/>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133D3"/>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133D3"/>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133D3"/>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E133D3"/>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jurisprudence.reseaudialog.ca/en/case/st-catherines-milling-co-v-the-queen/" TargetMode="External"/><Relationship Id="rId18" Type="http://schemas.openxmlformats.org/officeDocument/2006/relationships/hyperlink" Target="https://www.canlii.org/en/ca/scc/doc/1887/1887canlii3/1887canlii3.html?autocompleteStr=st.%20cat&amp;autocompletePos=2" TargetMode="External"/><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yperlink" Target="https://digitalcommons.osgoode.yorku.ca/scholarly_works/2682/" TargetMode="External"/><Relationship Id="rId7" Type="http://schemas.openxmlformats.org/officeDocument/2006/relationships/footnotes" Target="footnotes.xml"/><Relationship Id="rId12" Type="http://schemas.openxmlformats.org/officeDocument/2006/relationships/hyperlink" Target="https://jurisprudence.reseaudialog.ca/en/case_subject/jurisdiction-over-indians/" TargetMode="External"/><Relationship Id="rId17" Type="http://schemas.openxmlformats.org/officeDocument/2006/relationships/hyperlink" Target="https://www.canlii.org/en/ca/scc/doc/1887/1887canlii3/1887canlii3.html?autocompleteStr=st.%20cat&amp;autocompletePos=2"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canlii.org/en/ca/scc/doc/1887/1887canlii3/1887canlii3.html?autocompleteStr=st.%20cat&amp;autocompletePos=2" TargetMode="External"/><Relationship Id="rId20" Type="http://schemas.openxmlformats.org/officeDocument/2006/relationships/hyperlink" Target="https://scc-csc.lexum.com/scc-csc/scc-csc/en/item/3769/index.do"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urisprudence.reseaudialog.ca/en/case_subject/aboriginal-title/"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www.canlii.org/en/ca/scc/doc/1887/1887canlii3/1887canlii3.html?autocompleteStr=st.%20cat&amp;autocompletePos=2" TargetMode="External"/><Relationship Id="rId23" Type="http://schemas.openxmlformats.org/officeDocument/2006/relationships/hyperlink" Target="https://jurisprudence.reseaudialog.ca/en/case/st-catherines-milling-co-v-the-queen/" TargetMode="External"/><Relationship Id="rId28" Type="http://schemas.openxmlformats.org/officeDocument/2006/relationships/header" Target="header3.xml"/><Relationship Id="rId10" Type="http://schemas.openxmlformats.org/officeDocument/2006/relationships/hyperlink" Target="https://jurisprudence.reseaudialog.ca/en/case_province/ontario/" TargetMode="External"/><Relationship Id="rId19" Type="http://schemas.openxmlformats.org/officeDocument/2006/relationships/hyperlink" Target="http://www.bloorstreet.com/200block/brintro.htm"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scc-csc.lexum.com/scc-csc/scc-csc/en/item/3769/index.do" TargetMode="External"/><Relationship Id="rId14" Type="http://schemas.openxmlformats.org/officeDocument/2006/relationships/hyperlink" Target="https://www.canlii.org/en/ca/scc/doc/1887/1887canlii3/1887canlii3.html?autocompleteStr=st.%20cat&amp;autocompletePos=2" TargetMode="External"/><Relationship Id="rId22" Type="http://schemas.openxmlformats.org/officeDocument/2006/relationships/hyperlink" Target="http://www.bloorstreet.com/200block/brintro.htm"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1iy5wKBJLB1sh0C5Ze0zfGCggw==">AMUW2mVPxprWtT4ItQff8MRTAGeEwghU4AuBsFgT8MZ14k29vFssVfPCW6Vn/fyCx1m4v7Vq4DGcFPxmplXRBKws9LUsEK4GkfeasW6tfUtu0qdB27hHB2hVX8NTzwbGHWeL3X3psAF3nlZmnqMowkkYsKK6EOXy9g==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Wal211</b:Tag>
    <b:SourceType>DocumentFromInternetSite</b:SourceType>
    <b:Guid>{B842F77A-EA85-4E08-9492-14923A0A0BDD}</b:Guid>
    <b:Title>Supreme Court of Canada cases involving Indigenous peoples</b:Title>
    <b:Year>2021</b:Year>
    <b:Month>April</b:Month>
    <b:Day>20</b:Day>
    <b:YearAccessed>2021</b:YearAccessed>
    <b:MonthAccessed>December</b:MonthAccessed>
    <b:DayAccessed>7</b:DayAccessed>
    <b:Author>
      <b:Author>
        <b:NameList>
          <b:Person>
            <b:Last>Walsh</b:Last>
            <b:First>Jenna</b:First>
          </b:Person>
        </b:NameList>
      </b:Author>
    </b:Author>
    <b:URL>https://www.lib.sfu.ca/help/research-assistance/subject/criminology/legal-information/indigenous-scc-cases</b:URL>
    <b:InternetSiteTitle>Simon Fraser University</b:InternetSiteTitle>
    <b:RefOrder>1</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DB02BEF-00DD-46C4-B643-164F26736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854</Words>
  <Characters>4869</Characters>
  <Application>Microsoft Office Word</Application>
  <DocSecurity>0</DocSecurity>
  <Lines>40</Lines>
  <Paragraphs>11</Paragraphs>
  <ScaleCrop>false</ScaleCrop>
  <Company/>
  <LinksUpToDate>false</LinksUpToDate>
  <CharactersWithSpaces>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Camilla Coates</dc:creator>
  <cp:lastModifiedBy>User</cp:lastModifiedBy>
  <cp:revision>3</cp:revision>
  <dcterms:created xsi:type="dcterms:W3CDTF">2022-01-25T20:01:00Z</dcterms:created>
  <dcterms:modified xsi:type="dcterms:W3CDTF">2022-01-25T20:39:00Z</dcterms:modified>
</cp:coreProperties>
</file>